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445" w:rsidRDefault="00AB6445"/>
    <w:p w:rsidR="00263054" w:rsidRDefault="00263054">
      <w:r>
        <w:br w:type="column"/>
      </w:r>
    </w:p>
    <w:p w:rsidR="00BF5555" w:rsidRPr="00EC1D79" w:rsidRDefault="00BF5555" w:rsidP="00BF5555">
      <w:pPr>
        <w:jc w:val="center"/>
        <w:rPr>
          <w:b/>
          <w:sz w:val="28"/>
        </w:rPr>
      </w:pPr>
      <w:r w:rsidRPr="00EC1D79">
        <w:rPr>
          <w:b/>
          <w:sz w:val="28"/>
        </w:rPr>
        <w:t>Proyecto de Construcción “</w:t>
      </w:r>
      <w:r w:rsidRPr="00EC1D79">
        <w:rPr>
          <w:b/>
          <w:i/>
          <w:sz w:val="28"/>
        </w:rPr>
        <w:t>Pasarela sobre la carretera CA-32,</w:t>
      </w:r>
      <w:r w:rsidRPr="00EC1D79">
        <w:rPr>
          <w:b/>
          <w:i/>
          <w:sz w:val="28"/>
        </w:rPr>
        <w:br/>
        <w:t>para conexión peatonal y bicicletas, desde apeadero Las Aletas</w:t>
      </w:r>
      <w:r w:rsidRPr="00EC1D79">
        <w:rPr>
          <w:b/>
          <w:i/>
          <w:sz w:val="28"/>
        </w:rPr>
        <w:br/>
        <w:t>a la Escuela Superior de Ingeniería de la Universidad de Cádiz,</w:t>
      </w:r>
      <w:r w:rsidRPr="00EC1D79">
        <w:rPr>
          <w:b/>
          <w:i/>
          <w:sz w:val="28"/>
        </w:rPr>
        <w:br/>
        <w:t>T.M. de Puerto Real (Cádiz)</w:t>
      </w:r>
      <w:r w:rsidRPr="00EC1D79">
        <w:rPr>
          <w:b/>
          <w:sz w:val="28"/>
        </w:rPr>
        <w:t>”</w:t>
      </w:r>
    </w:p>
    <w:p w:rsidR="00263054" w:rsidRPr="00EC1D79" w:rsidRDefault="002C1899" w:rsidP="00DD73FC">
      <w:pPr>
        <w:jc w:val="center"/>
        <w:rPr>
          <w:b/>
          <w:sz w:val="28"/>
          <w:u w:val="single"/>
        </w:rPr>
      </w:pPr>
      <w:r>
        <w:rPr>
          <w:b/>
          <w:sz w:val="28"/>
          <w:u w:val="single"/>
        </w:rPr>
        <w:t>Anejo Nº. 7</w:t>
      </w:r>
      <w:r w:rsidR="00DD73FC" w:rsidRPr="00EC1D79">
        <w:rPr>
          <w:b/>
          <w:sz w:val="28"/>
          <w:u w:val="single"/>
        </w:rPr>
        <w:t xml:space="preserve"> </w:t>
      </w:r>
      <w:r w:rsidR="002D7964">
        <w:rPr>
          <w:b/>
          <w:sz w:val="28"/>
          <w:u w:val="single"/>
        </w:rPr>
        <w:t>–</w:t>
      </w:r>
      <w:r w:rsidR="00DD73FC" w:rsidRPr="00EC1D79">
        <w:rPr>
          <w:b/>
          <w:sz w:val="28"/>
          <w:u w:val="single"/>
        </w:rPr>
        <w:t xml:space="preserve"> </w:t>
      </w:r>
      <w:r>
        <w:rPr>
          <w:b/>
          <w:sz w:val="28"/>
          <w:u w:val="single"/>
        </w:rPr>
        <w:t>EFECTOS SÍMICOS</w:t>
      </w:r>
    </w:p>
    <w:p w:rsidR="00DD73FC" w:rsidRDefault="00DD73FC"/>
    <w:bookmarkStart w:id="0" w:name="_GoBack"/>
    <w:bookmarkEnd w:id="0"/>
    <w:p w:rsidR="007D1515" w:rsidRDefault="005561F8">
      <w:pPr>
        <w:pStyle w:val="TDC1"/>
        <w:tabs>
          <w:tab w:val="right" w:leader="dot" w:pos="10000"/>
        </w:tabs>
        <w:rPr>
          <w:rFonts w:asciiTheme="minorHAnsi" w:eastAsiaTheme="minorEastAsia" w:hAnsiTheme="minorHAnsi"/>
          <w:b w:val="0"/>
          <w:smallCaps w:val="0"/>
          <w:noProof/>
          <w:sz w:val="22"/>
          <w:lang w:eastAsia="es-ES"/>
        </w:rPr>
      </w:pPr>
      <w:r>
        <w:fldChar w:fldCharType="begin"/>
      </w:r>
      <w:r>
        <w:instrText xml:space="preserve"> TOC \h \z \t "__TÍTULO_01__;1;__TÍTULO_02__;2;__TÍTULO_3__;3" </w:instrText>
      </w:r>
      <w:r>
        <w:fldChar w:fldCharType="separate"/>
      </w:r>
      <w:hyperlink w:anchor="_Toc473184946" w:history="1">
        <w:r w:rsidR="007D1515" w:rsidRPr="00BE68F7">
          <w:rPr>
            <w:rStyle w:val="Hipervnculo"/>
            <w:noProof/>
          </w:rPr>
          <w:t>1.</w:t>
        </w:r>
        <w:r w:rsidR="007D1515">
          <w:rPr>
            <w:rFonts w:asciiTheme="minorHAnsi" w:eastAsiaTheme="minorEastAsia" w:hAnsiTheme="minorHAnsi"/>
            <w:b w:val="0"/>
            <w:smallCaps w:val="0"/>
            <w:noProof/>
            <w:sz w:val="22"/>
            <w:lang w:eastAsia="es-ES"/>
          </w:rPr>
          <w:tab/>
        </w:r>
        <w:r w:rsidR="007D1515" w:rsidRPr="00BE68F7">
          <w:rPr>
            <w:rStyle w:val="Hipervnculo"/>
            <w:noProof/>
          </w:rPr>
          <w:t>Introducción</w:t>
        </w:r>
        <w:r w:rsidR="007D1515">
          <w:rPr>
            <w:noProof/>
            <w:webHidden/>
          </w:rPr>
          <w:tab/>
        </w:r>
        <w:r w:rsidR="007D1515">
          <w:rPr>
            <w:noProof/>
            <w:webHidden/>
          </w:rPr>
          <w:fldChar w:fldCharType="begin"/>
        </w:r>
        <w:r w:rsidR="007D1515">
          <w:rPr>
            <w:noProof/>
            <w:webHidden/>
          </w:rPr>
          <w:instrText xml:space="preserve"> PAGEREF _Toc473184946 \h </w:instrText>
        </w:r>
        <w:r w:rsidR="007D1515">
          <w:rPr>
            <w:noProof/>
            <w:webHidden/>
          </w:rPr>
        </w:r>
        <w:r w:rsidR="007D1515">
          <w:rPr>
            <w:noProof/>
            <w:webHidden/>
          </w:rPr>
          <w:fldChar w:fldCharType="separate"/>
        </w:r>
        <w:r w:rsidR="00531604">
          <w:rPr>
            <w:noProof/>
            <w:webHidden/>
          </w:rPr>
          <w:t>2</w:t>
        </w:r>
        <w:r w:rsidR="007D1515">
          <w:rPr>
            <w:noProof/>
            <w:webHidden/>
          </w:rPr>
          <w:fldChar w:fldCharType="end"/>
        </w:r>
      </w:hyperlink>
    </w:p>
    <w:p w:rsidR="007D1515" w:rsidRDefault="007D1515">
      <w:pPr>
        <w:pStyle w:val="TDC2"/>
        <w:tabs>
          <w:tab w:val="right" w:leader="dot" w:pos="10000"/>
        </w:tabs>
        <w:rPr>
          <w:rFonts w:asciiTheme="minorHAnsi" w:eastAsiaTheme="minorEastAsia" w:hAnsiTheme="minorHAnsi"/>
          <w:b w:val="0"/>
          <w:noProof/>
          <w:lang w:eastAsia="es-ES"/>
        </w:rPr>
      </w:pPr>
      <w:hyperlink w:anchor="_Toc473184947" w:history="1">
        <w:r w:rsidRPr="00BE68F7">
          <w:rPr>
            <w:rStyle w:val="Hipervnculo"/>
            <w:noProof/>
          </w:rPr>
          <w:t>1.1.</w:t>
        </w:r>
        <w:r>
          <w:rPr>
            <w:rFonts w:asciiTheme="minorHAnsi" w:eastAsiaTheme="minorEastAsia" w:hAnsiTheme="minorHAnsi"/>
            <w:b w:val="0"/>
            <w:noProof/>
            <w:lang w:eastAsia="es-ES"/>
          </w:rPr>
          <w:tab/>
        </w:r>
        <w:r w:rsidRPr="00BE68F7">
          <w:rPr>
            <w:rStyle w:val="Hipervnculo"/>
            <w:noProof/>
          </w:rPr>
          <w:t>Clasificación de las construcciones</w:t>
        </w:r>
        <w:r>
          <w:rPr>
            <w:noProof/>
            <w:webHidden/>
          </w:rPr>
          <w:tab/>
        </w:r>
        <w:r>
          <w:rPr>
            <w:noProof/>
            <w:webHidden/>
          </w:rPr>
          <w:fldChar w:fldCharType="begin"/>
        </w:r>
        <w:r>
          <w:rPr>
            <w:noProof/>
            <w:webHidden/>
          </w:rPr>
          <w:instrText xml:space="preserve"> PAGEREF _Toc473184947 \h </w:instrText>
        </w:r>
        <w:r>
          <w:rPr>
            <w:noProof/>
            <w:webHidden/>
          </w:rPr>
        </w:r>
        <w:r>
          <w:rPr>
            <w:noProof/>
            <w:webHidden/>
          </w:rPr>
          <w:fldChar w:fldCharType="separate"/>
        </w:r>
        <w:r w:rsidR="00531604">
          <w:rPr>
            <w:noProof/>
            <w:webHidden/>
          </w:rPr>
          <w:t>2</w:t>
        </w:r>
        <w:r>
          <w:rPr>
            <w:noProof/>
            <w:webHidden/>
          </w:rPr>
          <w:fldChar w:fldCharType="end"/>
        </w:r>
      </w:hyperlink>
    </w:p>
    <w:p w:rsidR="007D1515" w:rsidRDefault="007D1515">
      <w:pPr>
        <w:pStyle w:val="TDC2"/>
        <w:tabs>
          <w:tab w:val="right" w:leader="dot" w:pos="10000"/>
        </w:tabs>
        <w:rPr>
          <w:rFonts w:asciiTheme="minorHAnsi" w:eastAsiaTheme="minorEastAsia" w:hAnsiTheme="minorHAnsi"/>
          <w:b w:val="0"/>
          <w:noProof/>
          <w:lang w:eastAsia="es-ES"/>
        </w:rPr>
      </w:pPr>
      <w:hyperlink w:anchor="_Toc473184948" w:history="1">
        <w:r w:rsidRPr="00BE68F7">
          <w:rPr>
            <w:rStyle w:val="Hipervnculo"/>
            <w:noProof/>
          </w:rPr>
          <w:t>1.2.</w:t>
        </w:r>
        <w:r>
          <w:rPr>
            <w:rFonts w:asciiTheme="minorHAnsi" w:eastAsiaTheme="minorEastAsia" w:hAnsiTheme="minorHAnsi"/>
            <w:b w:val="0"/>
            <w:noProof/>
            <w:lang w:eastAsia="es-ES"/>
          </w:rPr>
          <w:tab/>
        </w:r>
        <w:r w:rsidRPr="00BE68F7">
          <w:rPr>
            <w:rStyle w:val="Hipervnculo"/>
            <w:noProof/>
          </w:rPr>
          <w:t>Aceleración sísmica y coeficiente de contribución</w:t>
        </w:r>
        <w:r>
          <w:rPr>
            <w:noProof/>
            <w:webHidden/>
          </w:rPr>
          <w:tab/>
        </w:r>
        <w:r>
          <w:rPr>
            <w:noProof/>
            <w:webHidden/>
          </w:rPr>
          <w:fldChar w:fldCharType="begin"/>
        </w:r>
        <w:r>
          <w:rPr>
            <w:noProof/>
            <w:webHidden/>
          </w:rPr>
          <w:instrText xml:space="preserve"> PAGEREF _Toc473184948 \h </w:instrText>
        </w:r>
        <w:r>
          <w:rPr>
            <w:noProof/>
            <w:webHidden/>
          </w:rPr>
        </w:r>
        <w:r>
          <w:rPr>
            <w:noProof/>
            <w:webHidden/>
          </w:rPr>
          <w:fldChar w:fldCharType="separate"/>
        </w:r>
        <w:r w:rsidR="00531604">
          <w:rPr>
            <w:noProof/>
            <w:webHidden/>
          </w:rPr>
          <w:t>3</w:t>
        </w:r>
        <w:r>
          <w:rPr>
            <w:noProof/>
            <w:webHidden/>
          </w:rPr>
          <w:fldChar w:fldCharType="end"/>
        </w:r>
      </w:hyperlink>
    </w:p>
    <w:p w:rsidR="007D1515" w:rsidRDefault="007D1515">
      <w:pPr>
        <w:pStyle w:val="TDC1"/>
        <w:tabs>
          <w:tab w:val="right" w:leader="dot" w:pos="10000"/>
        </w:tabs>
        <w:rPr>
          <w:rFonts w:asciiTheme="minorHAnsi" w:eastAsiaTheme="minorEastAsia" w:hAnsiTheme="minorHAnsi"/>
          <w:b w:val="0"/>
          <w:smallCaps w:val="0"/>
          <w:noProof/>
          <w:sz w:val="22"/>
          <w:lang w:eastAsia="es-ES"/>
        </w:rPr>
      </w:pPr>
      <w:hyperlink w:anchor="_Toc473184949" w:history="1">
        <w:r w:rsidRPr="00BE68F7">
          <w:rPr>
            <w:rStyle w:val="Hipervnculo"/>
            <w:noProof/>
          </w:rPr>
          <w:t>2.</w:t>
        </w:r>
        <w:r>
          <w:rPr>
            <w:rFonts w:asciiTheme="minorHAnsi" w:eastAsiaTheme="minorEastAsia" w:hAnsiTheme="minorHAnsi"/>
            <w:b w:val="0"/>
            <w:smallCaps w:val="0"/>
            <w:noProof/>
            <w:sz w:val="22"/>
            <w:lang w:eastAsia="es-ES"/>
          </w:rPr>
          <w:tab/>
        </w:r>
        <w:r w:rsidRPr="00BE68F7">
          <w:rPr>
            <w:rStyle w:val="Hipervnculo"/>
            <w:noProof/>
          </w:rPr>
          <w:t>Acciones sísmicas</w:t>
        </w:r>
        <w:r>
          <w:rPr>
            <w:noProof/>
            <w:webHidden/>
          </w:rPr>
          <w:tab/>
        </w:r>
        <w:r>
          <w:rPr>
            <w:noProof/>
            <w:webHidden/>
          </w:rPr>
          <w:fldChar w:fldCharType="begin"/>
        </w:r>
        <w:r>
          <w:rPr>
            <w:noProof/>
            <w:webHidden/>
          </w:rPr>
          <w:instrText xml:space="preserve"> PAGEREF _Toc473184949 \h </w:instrText>
        </w:r>
        <w:r>
          <w:rPr>
            <w:noProof/>
            <w:webHidden/>
          </w:rPr>
        </w:r>
        <w:r>
          <w:rPr>
            <w:noProof/>
            <w:webHidden/>
          </w:rPr>
          <w:fldChar w:fldCharType="separate"/>
        </w:r>
        <w:r w:rsidR="00531604">
          <w:rPr>
            <w:noProof/>
            <w:webHidden/>
          </w:rPr>
          <w:t>3</w:t>
        </w:r>
        <w:r>
          <w:rPr>
            <w:noProof/>
            <w:webHidden/>
          </w:rPr>
          <w:fldChar w:fldCharType="end"/>
        </w:r>
      </w:hyperlink>
    </w:p>
    <w:p w:rsidR="007D1515" w:rsidRDefault="007D1515">
      <w:pPr>
        <w:pStyle w:val="TDC1"/>
        <w:tabs>
          <w:tab w:val="right" w:leader="dot" w:pos="10000"/>
        </w:tabs>
        <w:rPr>
          <w:rFonts w:asciiTheme="minorHAnsi" w:eastAsiaTheme="minorEastAsia" w:hAnsiTheme="minorHAnsi"/>
          <w:b w:val="0"/>
          <w:smallCaps w:val="0"/>
          <w:noProof/>
          <w:sz w:val="22"/>
          <w:lang w:eastAsia="es-ES"/>
        </w:rPr>
      </w:pPr>
      <w:hyperlink w:anchor="_Toc473184950" w:history="1">
        <w:r w:rsidRPr="00BE68F7">
          <w:rPr>
            <w:rStyle w:val="Hipervnculo"/>
            <w:noProof/>
          </w:rPr>
          <w:t>3.</w:t>
        </w:r>
        <w:r>
          <w:rPr>
            <w:rFonts w:asciiTheme="minorHAnsi" w:eastAsiaTheme="minorEastAsia" w:hAnsiTheme="minorHAnsi"/>
            <w:b w:val="0"/>
            <w:smallCaps w:val="0"/>
            <w:noProof/>
            <w:sz w:val="22"/>
            <w:lang w:eastAsia="es-ES"/>
          </w:rPr>
          <w:tab/>
        </w:r>
        <w:r w:rsidRPr="00BE68F7">
          <w:rPr>
            <w:rStyle w:val="Hipervnculo"/>
            <w:noProof/>
          </w:rPr>
          <w:t>Efectos sísmicos en estructuras</w:t>
        </w:r>
        <w:r>
          <w:rPr>
            <w:noProof/>
            <w:webHidden/>
          </w:rPr>
          <w:tab/>
        </w:r>
        <w:r>
          <w:rPr>
            <w:noProof/>
            <w:webHidden/>
          </w:rPr>
          <w:fldChar w:fldCharType="begin"/>
        </w:r>
        <w:r>
          <w:rPr>
            <w:noProof/>
            <w:webHidden/>
          </w:rPr>
          <w:instrText xml:space="preserve"> PAGEREF _Toc473184950 \h </w:instrText>
        </w:r>
        <w:r>
          <w:rPr>
            <w:noProof/>
            <w:webHidden/>
          </w:rPr>
        </w:r>
        <w:r>
          <w:rPr>
            <w:noProof/>
            <w:webHidden/>
          </w:rPr>
          <w:fldChar w:fldCharType="separate"/>
        </w:r>
        <w:r w:rsidR="00531604">
          <w:rPr>
            <w:noProof/>
            <w:webHidden/>
          </w:rPr>
          <w:t>4</w:t>
        </w:r>
        <w:r>
          <w:rPr>
            <w:noProof/>
            <w:webHidden/>
          </w:rPr>
          <w:fldChar w:fldCharType="end"/>
        </w:r>
      </w:hyperlink>
    </w:p>
    <w:p w:rsidR="00DD73FC" w:rsidRDefault="005561F8">
      <w:r>
        <w:fldChar w:fldCharType="end"/>
      </w:r>
    </w:p>
    <w:p w:rsidR="00DD73FC" w:rsidRDefault="00DD73FC"/>
    <w:p w:rsidR="00263054" w:rsidRDefault="00263054">
      <w:pPr>
        <w:sectPr w:rsidR="00263054" w:rsidSect="00EC1D79">
          <w:headerReference w:type="default" r:id="rId7"/>
          <w:footerReference w:type="default" r:id="rId8"/>
          <w:pgSz w:w="23814" w:h="16840" w:orient="landscape" w:code="8"/>
          <w:pgMar w:top="1701" w:right="1134" w:bottom="1134" w:left="1701" w:header="709" w:footer="709" w:gutter="0"/>
          <w:cols w:num="2" w:space="958"/>
          <w:docGrid w:linePitch="360"/>
        </w:sectPr>
      </w:pPr>
    </w:p>
    <w:p w:rsidR="00263054" w:rsidRDefault="00263054"/>
    <w:p w:rsidR="00DD73FC" w:rsidRDefault="00263054" w:rsidP="00DD73FC">
      <w:r>
        <w:br w:type="column"/>
      </w:r>
    </w:p>
    <w:p w:rsidR="00DD73FC" w:rsidRPr="00EC1D79" w:rsidRDefault="00DD73FC" w:rsidP="00DD73FC">
      <w:pPr>
        <w:jc w:val="center"/>
        <w:rPr>
          <w:b/>
          <w:sz w:val="28"/>
        </w:rPr>
      </w:pPr>
      <w:r w:rsidRPr="00EC1D79">
        <w:rPr>
          <w:b/>
          <w:sz w:val="28"/>
        </w:rPr>
        <w:t>Proyecto de Construcción “</w:t>
      </w:r>
      <w:r w:rsidRPr="00EC1D79">
        <w:rPr>
          <w:b/>
          <w:i/>
          <w:sz w:val="28"/>
        </w:rPr>
        <w:t>Pasarela sobre la carretera CA-32,</w:t>
      </w:r>
      <w:r w:rsidRPr="00EC1D79">
        <w:rPr>
          <w:b/>
          <w:i/>
          <w:sz w:val="28"/>
        </w:rPr>
        <w:br/>
        <w:t>para conexión peatonal y bicicletas, desde apeadero Las Aletas</w:t>
      </w:r>
      <w:r w:rsidRPr="00EC1D79">
        <w:rPr>
          <w:b/>
          <w:i/>
          <w:sz w:val="28"/>
        </w:rPr>
        <w:br/>
        <w:t>a la Escuela Superior de Ingeniería de la Universidad de Cádiz,</w:t>
      </w:r>
      <w:r w:rsidRPr="00EC1D79">
        <w:rPr>
          <w:b/>
          <w:i/>
          <w:sz w:val="28"/>
        </w:rPr>
        <w:br/>
        <w:t>T.M. de Puerto Real (Cádiz)</w:t>
      </w:r>
      <w:r w:rsidRPr="00EC1D79">
        <w:rPr>
          <w:b/>
          <w:sz w:val="28"/>
        </w:rPr>
        <w:t>”</w:t>
      </w:r>
    </w:p>
    <w:p w:rsidR="00DD73FC" w:rsidRPr="00EC1D79" w:rsidRDefault="002C1899" w:rsidP="00DD73FC">
      <w:pPr>
        <w:jc w:val="center"/>
        <w:rPr>
          <w:b/>
          <w:sz w:val="28"/>
          <w:u w:val="single"/>
        </w:rPr>
      </w:pPr>
      <w:r>
        <w:rPr>
          <w:b/>
          <w:sz w:val="28"/>
          <w:u w:val="single"/>
        </w:rPr>
        <w:t>Anejo Nº. 7</w:t>
      </w:r>
      <w:r w:rsidRPr="00EC1D79">
        <w:rPr>
          <w:b/>
          <w:sz w:val="28"/>
          <w:u w:val="single"/>
        </w:rPr>
        <w:t xml:space="preserve"> </w:t>
      </w:r>
      <w:r>
        <w:rPr>
          <w:b/>
          <w:sz w:val="28"/>
          <w:u w:val="single"/>
        </w:rPr>
        <w:t>–</w:t>
      </w:r>
      <w:r w:rsidRPr="00EC1D79">
        <w:rPr>
          <w:b/>
          <w:sz w:val="28"/>
          <w:u w:val="single"/>
        </w:rPr>
        <w:t xml:space="preserve"> </w:t>
      </w:r>
      <w:r>
        <w:rPr>
          <w:b/>
          <w:sz w:val="28"/>
          <w:u w:val="single"/>
        </w:rPr>
        <w:t>EFECTOS SÍMICOS</w:t>
      </w:r>
    </w:p>
    <w:p w:rsidR="00DD73FC" w:rsidRDefault="00DD73FC" w:rsidP="00DD73FC"/>
    <w:p w:rsidR="00EC7474" w:rsidRDefault="00EC7474" w:rsidP="00EC7474">
      <w:pPr>
        <w:pStyle w:val="TTULO01"/>
      </w:pPr>
      <w:bookmarkStart w:id="1" w:name="_Toc258228010"/>
      <w:bookmarkStart w:id="2" w:name="_Toc473184946"/>
      <w:r>
        <w:t>1.</w:t>
      </w:r>
      <w:r>
        <w:tab/>
        <w:t>Introducción</w:t>
      </w:r>
      <w:bookmarkEnd w:id="1"/>
      <w:bookmarkEnd w:id="2"/>
    </w:p>
    <w:p w:rsidR="00EC7474" w:rsidRDefault="00EC7474" w:rsidP="00EC7474">
      <w:pPr>
        <w:pStyle w:val="TTULO02"/>
      </w:pPr>
      <w:bookmarkStart w:id="3" w:name="_Toc258228011"/>
      <w:bookmarkStart w:id="4" w:name="_Toc473184947"/>
      <w:r>
        <w:t>1.1.</w:t>
      </w:r>
      <w:r>
        <w:tab/>
        <w:t>Clasificación de las construcciones</w:t>
      </w:r>
      <w:bookmarkEnd w:id="3"/>
      <w:bookmarkEnd w:id="4"/>
    </w:p>
    <w:p w:rsidR="00EC7474" w:rsidRDefault="00EC7474" w:rsidP="00EC7474">
      <w:pPr>
        <w:pStyle w:val="NORMAL0"/>
      </w:pPr>
      <w:r>
        <w:t>Para el cálculo de las acciones sísmicas y su repercusión en la estructura proyectada se ha tenido en cuenta la nueva Norma Sismorresistente NCSP-07 aprobada por el Real Decreto 637/2007 de 18 de Mayo de 2007.</w:t>
      </w:r>
    </w:p>
    <w:p w:rsidR="00EC7474" w:rsidRDefault="00EC7474" w:rsidP="00EC7474">
      <w:pPr>
        <w:pStyle w:val="NORMAL0"/>
      </w:pPr>
      <w:r>
        <w:t>En el apartado 2.3. de dicha Norma se clasifican las construcciones, en función del uso a que se destinan y de los daños que puede ocasionar su destrucción, en:</w:t>
      </w:r>
    </w:p>
    <w:p w:rsidR="00EC7474" w:rsidRDefault="00EC7474" w:rsidP="00404764">
      <w:pPr>
        <w:pStyle w:val="NORMAL0"/>
        <w:ind w:left="907" w:hanging="340"/>
      </w:pPr>
      <w:r>
        <w:sym w:font="Wingdings" w:char="F0F0"/>
      </w:r>
      <w:r>
        <w:tab/>
        <w:t>De importancia normal.</w:t>
      </w:r>
    </w:p>
    <w:p w:rsidR="00EC7474" w:rsidRDefault="00EC7474" w:rsidP="00404764">
      <w:pPr>
        <w:pStyle w:val="NORMAL0"/>
        <w:ind w:left="907" w:hanging="340"/>
      </w:pPr>
      <w:r>
        <w:sym w:font="Wingdings" w:char="F0F0"/>
      </w:r>
      <w:r>
        <w:tab/>
        <w:t>De importancia especial.</w:t>
      </w:r>
    </w:p>
    <w:p w:rsidR="00EC7474" w:rsidRDefault="00EC7474" w:rsidP="00EC7474">
      <w:pPr>
        <w:pStyle w:val="NORMAL0"/>
      </w:pPr>
      <w:r>
        <w:t>A este respecto, la Instrucción sobre acciones a considerar en el proyecto de puentes de carretera (IAP), aprobada por Orden del Ministerio de Fomento de 12 de febrero de 1998, clasifica los puentes de carretera (considerando como tales las obras de paso que soportan cualquier tipo de vía de tráfico rodado formado por vehículos automóviles, obras de drenaje transversal de envergadura, muros y pasarelas peatonales o ciclistas) en:</w:t>
      </w:r>
    </w:p>
    <w:p w:rsidR="00EC7474" w:rsidRDefault="00EC7474" w:rsidP="00404764">
      <w:pPr>
        <w:pStyle w:val="NORMAL0"/>
        <w:ind w:left="907" w:hanging="340"/>
      </w:pPr>
      <w:r>
        <w:sym w:font="Wingdings" w:char="F0FA"/>
      </w:r>
      <w:r>
        <w:tab/>
        <w:t>De importancia moderada: con probabilidad despreciable de que su destrucción pueda ocasionar víctimas, interrumpir un servicio primario o producir daños económicos significativos a terceros.</w:t>
      </w:r>
    </w:p>
    <w:p w:rsidR="00EC7474" w:rsidRDefault="00EC7474" w:rsidP="00404764">
      <w:pPr>
        <w:pStyle w:val="NORMAL0"/>
        <w:ind w:left="907" w:hanging="340"/>
      </w:pPr>
      <w:r>
        <w:sym w:font="Wingdings" w:char="F0FA"/>
      </w:r>
      <w:r>
        <w:tab/>
        <w:t>De importancia normal: su destrucción puede ocasionar víctimas, interrumpir un servicio necesario para la colectividad o producir importantes pérdidas económicas, sin que en ningún caso se trate de un servicio imprescindible ni pueda dar lugar a efectos catastróficos. Se incluyen aquí los pasos superiores e inferiores y pequeñas obras de paso de una red alta capacidad (autopistas, autovías, vías de conexión y vías rápidas) y los puentes y viaductos del resto de la red de carreteras.</w:t>
      </w:r>
    </w:p>
    <w:p w:rsidR="00EC7474" w:rsidRDefault="00EC7474" w:rsidP="00404764">
      <w:pPr>
        <w:pStyle w:val="NORMAL0"/>
        <w:ind w:left="907" w:hanging="340"/>
      </w:pPr>
      <w:r>
        <w:sym w:font="Wingdings" w:char="F0FA"/>
      </w:r>
      <w:r>
        <w:tab/>
        <w:t>De importancia especial: su destrucción puede interrumpir un servicio imprescindible o aumentar los daños ocasionados por el terremoto por efectos catastróficos. Quedan aquí incluidos los puentes situados en accesos a edificios sanitarios y de servicios públicos de ayuda, a instalaciones básicas de las poblaciones, a puertos y aeropuertos de Interés General del Estado, a edificios e instalaciones básicas de comunicaciones, a grandes presas y sus instalaciones vitales, a edificios donde se almacenen materias tóxicas, inflamables o explosivas, y a centrales nucleares o edificios donde se procesen materiales radiactivos. También los puentes urbanos situados en arterias o vías principales, los accesos principales a núcleos urbanos, los puentes clasificados de importancia normal cuando su destrucción ocasione daños muy importantes o afecte gravemente a algún servicio imprescindible, y los puentes situados en la red de alta capacidad (autopistas, autovías, vías de conexión y vías rápidas).</w:t>
      </w:r>
    </w:p>
    <w:p w:rsidR="00EC7474" w:rsidRDefault="00EC7474" w:rsidP="00EC7474">
      <w:pPr>
        <w:pStyle w:val="NORMAL0"/>
      </w:pPr>
      <w:r>
        <w:t>En dicha Norma, en su apartado 1.2.3., se establece que no es obligatoria la aplicación de la misma en los siguientes casos:</w:t>
      </w:r>
    </w:p>
    <w:p w:rsidR="00EC7474" w:rsidRDefault="00EC7474" w:rsidP="00404764">
      <w:pPr>
        <w:pStyle w:val="NORMAL0"/>
        <w:ind w:left="907" w:hanging="340"/>
      </w:pPr>
      <w:r>
        <w:sym w:font="Wingdings" w:char="F0FA"/>
      </w:r>
      <w:r>
        <w:tab/>
        <w:t>En las construcciones de moderada importancia.</w:t>
      </w:r>
    </w:p>
    <w:p w:rsidR="00EC7474" w:rsidRDefault="00EC7474" w:rsidP="00404764">
      <w:pPr>
        <w:pStyle w:val="NORMAL0"/>
        <w:ind w:left="907" w:hanging="340"/>
      </w:pPr>
      <w:r>
        <w:sym w:font="Wingdings" w:char="F0FA"/>
      </w:r>
      <w:r>
        <w:tab/>
        <w:t>Las edificaciones de importancia normal o especial cuando la aceleración sísmica básica, ab, sea inferior a 0,04 g, siendo g la aceleración de la gravedad.</w:t>
      </w:r>
    </w:p>
    <w:p w:rsidR="00EC7474" w:rsidRDefault="00EC7474" w:rsidP="00404764">
      <w:pPr>
        <w:pStyle w:val="NORMAL0"/>
        <w:ind w:left="907" w:hanging="340"/>
      </w:pPr>
      <w:r>
        <w:lastRenderedPageBreak/>
        <w:sym w:font="Wingdings" w:char="F0FA"/>
      </w:r>
      <w:r>
        <w:tab/>
        <w:t>En las construcciones de importancia normal con pórticos bien arriostrados entre sí en todas las direcciones cuando la aceleración sísmica básica sea inferior a 0,08 g.</w:t>
      </w:r>
    </w:p>
    <w:p w:rsidR="00EC7474" w:rsidRDefault="00EC7474" w:rsidP="00EC7474">
      <w:pPr>
        <w:pStyle w:val="NORMAL0"/>
      </w:pPr>
    </w:p>
    <w:p w:rsidR="00EC7474" w:rsidRDefault="00EC7474" w:rsidP="00EC7474">
      <w:pPr>
        <w:pStyle w:val="TTULO02"/>
      </w:pPr>
      <w:bookmarkStart w:id="5" w:name="_Toc258228012"/>
      <w:bookmarkStart w:id="6" w:name="_Toc473184948"/>
      <w:r>
        <w:t>1.2.</w:t>
      </w:r>
      <w:r w:rsidR="007D1515">
        <w:tab/>
      </w:r>
      <w:r>
        <w:t>Aceleración sísmica y coeficiente de contribución</w:t>
      </w:r>
      <w:bookmarkEnd w:id="5"/>
      <w:bookmarkEnd w:id="6"/>
    </w:p>
    <w:p w:rsidR="00EC7474" w:rsidRDefault="00EC7474" w:rsidP="00EC7474">
      <w:pPr>
        <w:pStyle w:val="NORMAL0"/>
      </w:pPr>
      <w:r>
        <w:t>La aceleración sísmica de cálculo se define como:</w:t>
      </w:r>
    </w:p>
    <w:p w:rsidR="00EC7474" w:rsidRDefault="00EC7474" w:rsidP="00EC7474">
      <w:pPr>
        <w:pStyle w:val="NORMAL0"/>
        <w:jc w:val="center"/>
      </w:pPr>
      <w:r w:rsidRPr="005D4D69">
        <w:rPr>
          <w:position w:val="-12"/>
          <w:sz w:val="20"/>
        </w:rPr>
        <w:object w:dxaOrig="13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18pt" o:ole="">
            <v:imagedata r:id="rId9" o:title=""/>
          </v:shape>
          <o:OLEObject Type="Embed" ProgID="Equation.3" ShapeID="_x0000_i1025" DrawAspect="Content" ObjectID="_1546926840" r:id="rId10"/>
        </w:object>
      </w:r>
    </w:p>
    <w:p w:rsidR="00EC7474" w:rsidRDefault="00EC7474" w:rsidP="00EC7474">
      <w:pPr>
        <w:pStyle w:val="NORMAL0"/>
      </w:pPr>
      <w:r>
        <w:t>En la siguiente figura, se reflejan las aceleraciones sísmicas básicas a aplicar en las distintas regiones del territorio nacional, según NCSP-07.</w:t>
      </w:r>
    </w:p>
    <w:p w:rsidR="00EC7474" w:rsidRDefault="00EC7474" w:rsidP="00EC7474">
      <w:pPr>
        <w:pStyle w:val="NORMAL0"/>
        <w:jc w:val="center"/>
      </w:pPr>
      <w:r>
        <w:rPr>
          <w:noProof/>
          <w:lang w:eastAsia="es-ES"/>
        </w:rPr>
        <w:drawing>
          <wp:inline distT="0" distB="0" distL="0" distR="0">
            <wp:extent cx="4800600" cy="3952875"/>
            <wp:effectExtent l="0" t="0" r="0" b="9525"/>
            <wp:docPr id="7" name="Imagen 7" descr="pelig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eligro"/>
                    <pic:cNvPicPr>
                      <a:picLocks noChangeAspect="1" noChangeArrowheads="1"/>
                    </pic:cNvPicPr>
                  </pic:nvPicPr>
                  <pic:blipFill>
                    <a:blip r:embed="rId11" cstate="print">
                      <a:extLst>
                        <a:ext uri="{28A0092B-C50C-407E-A947-70E740481C1C}">
                          <a14:useLocalDpi xmlns:a14="http://schemas.microsoft.com/office/drawing/2010/main" val="0"/>
                        </a:ext>
                      </a:extLst>
                    </a:blip>
                    <a:srcRect l="3435" t="1649" r="2800" b="3320"/>
                    <a:stretch>
                      <a:fillRect/>
                    </a:stretch>
                  </pic:blipFill>
                  <pic:spPr bwMode="auto">
                    <a:xfrm>
                      <a:off x="0" y="0"/>
                      <a:ext cx="4800600" cy="3952875"/>
                    </a:xfrm>
                    <a:prstGeom prst="rect">
                      <a:avLst/>
                    </a:prstGeom>
                    <a:noFill/>
                    <a:ln>
                      <a:noFill/>
                    </a:ln>
                  </pic:spPr>
                </pic:pic>
              </a:graphicData>
            </a:graphic>
          </wp:inline>
        </w:drawing>
      </w:r>
    </w:p>
    <w:p w:rsidR="00EC7474" w:rsidRDefault="00404764" w:rsidP="00404764">
      <w:pPr>
        <w:pStyle w:val="NORMAL0"/>
        <w:ind w:left="907" w:hanging="340"/>
      </w:pPr>
      <w:r>
        <w:sym w:font="Wingdings" w:char="F0F0"/>
      </w:r>
      <w:r>
        <w:tab/>
      </w:r>
      <w:r w:rsidR="001B71AE">
        <w:rPr>
          <w:b/>
          <w:i/>
        </w:rPr>
        <w:t>a</w:t>
      </w:r>
      <w:r w:rsidR="001B71AE">
        <w:rPr>
          <w:b/>
          <w:i/>
          <w:vertAlign w:val="subscript"/>
        </w:rPr>
        <w:t>b</w:t>
      </w:r>
      <w:r w:rsidR="001B71AE">
        <w:t xml:space="preserve"> =</w:t>
      </w:r>
      <w:r w:rsidR="00EC7474">
        <w:t xml:space="preserve"> aceleración sísmica básica que es un valor característico de la aceleración horizontal de la superficie del terreno. El mapa de peligrosidad sísmica que se adjunta suministra, expresada en relación al valor de la gravedad, g, la aceleración sísmica básica, a</w:t>
      </w:r>
      <w:r w:rsidR="00EC7474" w:rsidRPr="001D429F">
        <w:rPr>
          <w:vertAlign w:val="subscript"/>
        </w:rPr>
        <w:t>b</w:t>
      </w:r>
      <w:r w:rsidR="00EC7474">
        <w:t>, y el coeficiente de contribución K (que tiene en cuenta la influencia de los distintos tipos de terremotos esperados en la peligrosidad sísmica de cada punto).</w:t>
      </w:r>
    </w:p>
    <w:p w:rsidR="00EC7474" w:rsidRDefault="00404764" w:rsidP="00404764">
      <w:pPr>
        <w:pStyle w:val="NORMAL0"/>
        <w:ind w:left="907" w:hanging="340"/>
      </w:pPr>
      <w:r>
        <w:sym w:font="Wingdings" w:char="F0F0"/>
      </w:r>
      <w:r>
        <w:tab/>
      </w:r>
      <w:r w:rsidR="001B71AE" w:rsidRPr="001B71AE">
        <w:rPr>
          <w:b/>
          <w:i/>
        </w:rPr>
        <w:t>ρ</w:t>
      </w:r>
      <w:r w:rsidR="001B71AE">
        <w:t xml:space="preserve"> </w:t>
      </w:r>
      <w:r w:rsidR="00EC7474">
        <w:t>= Coeficiente adimensional de riesgo función de la probabilidad aceptable de que se exceda a</w:t>
      </w:r>
      <w:r w:rsidR="00EC7474" w:rsidRPr="001D429F">
        <w:rPr>
          <w:vertAlign w:val="subscript"/>
        </w:rPr>
        <w:t>c</w:t>
      </w:r>
      <w:r w:rsidR="00EC7474">
        <w:t xml:space="preserve"> en el periodo de vida para el que se proyecta la construcción.</w:t>
      </w:r>
      <w:r>
        <w:t xml:space="preserve"> </w:t>
      </w:r>
      <w:r w:rsidR="00EC7474">
        <w:t>Adopta los siguientes valores:</w:t>
      </w:r>
    </w:p>
    <w:p w:rsidR="001B71AE" w:rsidRDefault="001B71AE" w:rsidP="00404764">
      <w:pPr>
        <w:pStyle w:val="NORMAL0"/>
        <w:ind w:left="1474" w:hanging="340"/>
      </w:pPr>
      <w:r>
        <w:sym w:font="Wingdings" w:char="F0FA"/>
      </w:r>
      <w:r>
        <w:tab/>
      </w:r>
      <w:r w:rsidR="00EC7474">
        <w:t xml:space="preserve">Construcciones de importancia normal </w:t>
      </w:r>
      <w:r w:rsidR="00EC7474" w:rsidRPr="001D429F">
        <w:rPr>
          <w:position w:val="-10"/>
        </w:rPr>
        <w:object w:dxaOrig="240" w:dyaOrig="260">
          <v:shape id="_x0000_i1026" type="#_x0000_t75" style="width:12pt;height:12.75pt" o:ole="">
            <v:imagedata r:id="rId12" o:title=""/>
          </v:shape>
          <o:OLEObject Type="Embed" ProgID="Equation.DSMT4" ShapeID="_x0000_i1026" DrawAspect="Content" ObjectID="_1546926841" r:id="rId13"/>
        </w:object>
      </w:r>
      <w:r w:rsidR="00EC7474">
        <w:t>= 1,00.</w:t>
      </w:r>
    </w:p>
    <w:p w:rsidR="00EC7474" w:rsidRDefault="001B71AE" w:rsidP="00404764">
      <w:pPr>
        <w:pStyle w:val="NORMAL0"/>
        <w:ind w:left="1474" w:hanging="340"/>
      </w:pPr>
      <w:r>
        <w:sym w:font="Wingdings" w:char="F0FA"/>
      </w:r>
      <w:r>
        <w:tab/>
      </w:r>
      <w:r w:rsidR="00EC7474">
        <w:t xml:space="preserve">Construcciones de importancia especial </w:t>
      </w:r>
      <w:r w:rsidR="00EC7474" w:rsidRPr="001D429F">
        <w:rPr>
          <w:position w:val="-10"/>
        </w:rPr>
        <w:object w:dxaOrig="240" w:dyaOrig="260">
          <v:shape id="_x0000_i1027" type="#_x0000_t75" style="width:12pt;height:12.75pt" o:ole="">
            <v:imagedata r:id="rId12" o:title=""/>
          </v:shape>
          <o:OLEObject Type="Embed" ProgID="Equation.DSMT4" ShapeID="_x0000_i1027" DrawAspect="Content" ObjectID="_1546926842" r:id="rId14"/>
        </w:object>
      </w:r>
      <w:r w:rsidR="00EC7474">
        <w:t>= 1,3.</w:t>
      </w:r>
    </w:p>
    <w:p w:rsidR="00EC7474" w:rsidRDefault="00404764" w:rsidP="00404764">
      <w:pPr>
        <w:pStyle w:val="NORMAL0"/>
        <w:ind w:left="907" w:hanging="340"/>
      </w:pPr>
      <w:r>
        <w:sym w:font="Wingdings" w:char="F0F0"/>
      </w:r>
      <w:r>
        <w:tab/>
      </w:r>
      <w:r w:rsidR="00EC7474" w:rsidRPr="001B71AE">
        <w:rPr>
          <w:b/>
          <w:i/>
        </w:rPr>
        <w:t>S</w:t>
      </w:r>
      <w:r w:rsidR="00EC7474">
        <w:t xml:space="preserve"> = Coeficiente de amplificación del terreno. Toma el siguiente valor:</w:t>
      </w:r>
    </w:p>
    <w:p w:rsidR="00EC7474" w:rsidRDefault="001B71AE" w:rsidP="00404764">
      <w:pPr>
        <w:pStyle w:val="NORMAL0"/>
        <w:ind w:left="1474" w:hanging="340"/>
      </w:pPr>
      <w:r>
        <w:sym w:font="Wingdings" w:char="F0FA"/>
      </w:r>
      <w:r>
        <w:tab/>
      </w:r>
      <w:r w:rsidR="00EC7474">
        <w:t xml:space="preserve">Para </w:t>
      </w:r>
      <w:r w:rsidR="00EC7474" w:rsidRPr="00E770FD">
        <w:rPr>
          <w:position w:val="-12"/>
        </w:rPr>
        <w:object w:dxaOrig="1400" w:dyaOrig="360">
          <v:shape id="_x0000_i1028" type="#_x0000_t75" style="width:69.75pt;height:18pt" o:ole="">
            <v:imagedata r:id="rId15" o:title=""/>
          </v:shape>
          <o:OLEObject Type="Embed" ProgID="Equation.DSMT4" ShapeID="_x0000_i1028" DrawAspect="Content" ObjectID="_1546926843" r:id="rId16"/>
        </w:object>
      </w:r>
      <w:r w:rsidR="00EC7474">
        <w:tab/>
      </w:r>
      <w:r w:rsidR="00EC7474">
        <w:tab/>
      </w:r>
      <w:r w:rsidR="00EC7474" w:rsidRPr="00E770FD">
        <w:rPr>
          <w:position w:val="-28"/>
        </w:rPr>
        <w:object w:dxaOrig="820" w:dyaOrig="660">
          <v:shape id="_x0000_i1029" type="#_x0000_t75" style="width:41.25pt;height:33pt" o:ole="">
            <v:imagedata r:id="rId17" o:title=""/>
          </v:shape>
          <o:OLEObject Type="Embed" ProgID="Equation.DSMT4" ShapeID="_x0000_i1029" DrawAspect="Content" ObjectID="_1546926844" r:id="rId18"/>
        </w:object>
      </w:r>
    </w:p>
    <w:p w:rsidR="00EC7474" w:rsidRDefault="001B71AE" w:rsidP="00404764">
      <w:pPr>
        <w:pStyle w:val="NORMAL0"/>
        <w:ind w:left="1474" w:hanging="340"/>
      </w:pPr>
      <w:r>
        <w:sym w:font="Wingdings" w:char="F0FA"/>
      </w:r>
      <w:r>
        <w:tab/>
      </w:r>
      <w:r w:rsidR="00EC7474">
        <w:t xml:space="preserve">Para </w:t>
      </w:r>
      <w:r w:rsidR="00EC7474" w:rsidRPr="00E770FD">
        <w:rPr>
          <w:position w:val="-12"/>
        </w:rPr>
        <w:object w:dxaOrig="2260" w:dyaOrig="360">
          <v:shape id="_x0000_i1030" type="#_x0000_t75" style="width:113.25pt;height:18pt" o:ole="">
            <v:imagedata r:id="rId19" o:title=""/>
          </v:shape>
          <o:OLEObject Type="Embed" ProgID="Equation.DSMT4" ShapeID="_x0000_i1030" DrawAspect="Content" ObjectID="_1546926845" r:id="rId20"/>
        </w:object>
      </w:r>
      <w:r w:rsidR="00EC7474">
        <w:tab/>
      </w:r>
      <w:r w:rsidR="00EC7474" w:rsidRPr="00E770FD">
        <w:rPr>
          <w:position w:val="-30"/>
        </w:rPr>
        <w:object w:dxaOrig="3879" w:dyaOrig="720">
          <v:shape id="_x0000_i1031" type="#_x0000_t75" style="width:194.25pt;height:36pt" o:ole="">
            <v:imagedata r:id="rId21" o:title=""/>
          </v:shape>
          <o:OLEObject Type="Embed" ProgID="Equation.DSMT4" ShapeID="_x0000_i1031" DrawAspect="Content" ObjectID="_1546926846" r:id="rId22"/>
        </w:object>
      </w:r>
    </w:p>
    <w:p w:rsidR="00EC7474" w:rsidRDefault="001B71AE" w:rsidP="00404764">
      <w:pPr>
        <w:pStyle w:val="NORMAL0"/>
        <w:ind w:left="1474" w:hanging="340"/>
      </w:pPr>
      <w:r>
        <w:sym w:font="Wingdings" w:char="F0FA"/>
      </w:r>
      <w:r>
        <w:tab/>
      </w:r>
      <w:r w:rsidR="00EC7474">
        <w:t xml:space="preserve">Para </w:t>
      </w:r>
      <w:r w:rsidR="00EC7474" w:rsidRPr="00E770FD">
        <w:rPr>
          <w:position w:val="-12"/>
        </w:rPr>
        <w:object w:dxaOrig="1400" w:dyaOrig="360">
          <v:shape id="_x0000_i1032" type="#_x0000_t75" style="width:69.75pt;height:18pt" o:ole="">
            <v:imagedata r:id="rId23" o:title=""/>
          </v:shape>
          <o:OLEObject Type="Embed" ProgID="Equation.DSMT4" ShapeID="_x0000_i1032" DrawAspect="Content" ObjectID="_1546926847" r:id="rId24"/>
        </w:object>
      </w:r>
      <w:r w:rsidR="00EC7474">
        <w:tab/>
      </w:r>
      <w:r w:rsidR="00EC7474">
        <w:tab/>
      </w:r>
      <w:r w:rsidR="00EC7474" w:rsidRPr="00E770FD">
        <w:rPr>
          <w:position w:val="-8"/>
        </w:rPr>
        <w:object w:dxaOrig="800" w:dyaOrig="300">
          <v:shape id="_x0000_i1033" type="#_x0000_t75" style="width:39.75pt;height:15pt" o:ole="">
            <v:imagedata r:id="rId25" o:title=""/>
          </v:shape>
          <o:OLEObject Type="Embed" ProgID="Equation.DSMT4" ShapeID="_x0000_i1033" DrawAspect="Content" ObjectID="_1546926848" r:id="rId26"/>
        </w:object>
      </w:r>
    </w:p>
    <w:p w:rsidR="00EC7474" w:rsidRDefault="001B71AE" w:rsidP="00404764">
      <w:pPr>
        <w:pStyle w:val="NORMAL0"/>
        <w:ind w:left="1474" w:hanging="340"/>
      </w:pPr>
      <w:r>
        <w:tab/>
      </w:r>
      <w:r w:rsidR="00EC7474">
        <w:t>siendo C: Coeficiente de terreno y que depende de las características geotécnicas del terreno de cimentación.</w:t>
      </w:r>
    </w:p>
    <w:p w:rsidR="00EC7474" w:rsidRDefault="00EC7474" w:rsidP="00EC7474">
      <w:pPr>
        <w:pStyle w:val="NORMAL0"/>
      </w:pPr>
      <w:r>
        <w:t>Para obtener el coeficiente de terreno, la Norma, en su apartado 3.2., clasifica los terrenos en:</w:t>
      </w:r>
    </w:p>
    <w:p w:rsidR="001B71AE" w:rsidRDefault="001B71AE" w:rsidP="00404764">
      <w:pPr>
        <w:pStyle w:val="NORMAL0"/>
        <w:ind w:left="907" w:hanging="340"/>
      </w:pPr>
      <w:r>
        <w:sym w:font="Wingdings" w:char="F0FA"/>
      </w:r>
      <w:r>
        <w:tab/>
      </w:r>
      <w:r w:rsidR="00EC7474">
        <w:t>Tipo I: Roca compacta, suelo cementado o granular muy denso.</w:t>
      </w:r>
    </w:p>
    <w:p w:rsidR="001B71AE" w:rsidRDefault="001B71AE" w:rsidP="00404764">
      <w:pPr>
        <w:pStyle w:val="NORMAL0"/>
        <w:ind w:left="907" w:hanging="340"/>
      </w:pPr>
      <w:r>
        <w:sym w:font="Wingdings" w:char="F0FA"/>
      </w:r>
      <w:r>
        <w:tab/>
      </w:r>
      <w:r w:rsidR="00EC7474">
        <w:t>Tipo II: Roca muy fracturada, suelos granulares densos o cohesivos duros.</w:t>
      </w:r>
    </w:p>
    <w:p w:rsidR="001B71AE" w:rsidRDefault="001B71AE" w:rsidP="00404764">
      <w:pPr>
        <w:pStyle w:val="NORMAL0"/>
        <w:ind w:left="907" w:hanging="340"/>
      </w:pPr>
      <w:r>
        <w:sym w:font="Wingdings" w:char="F0FA"/>
      </w:r>
      <w:r>
        <w:tab/>
      </w:r>
      <w:r w:rsidR="00EC7474">
        <w:t>Tipo III: Suelo granular de compacidad media o suelo cohesivo de consistencia firme a muy firme.</w:t>
      </w:r>
    </w:p>
    <w:p w:rsidR="00EC7474" w:rsidRDefault="001B71AE" w:rsidP="00404764">
      <w:pPr>
        <w:pStyle w:val="NORMAL0"/>
        <w:ind w:left="907" w:hanging="340"/>
      </w:pPr>
      <w:r>
        <w:sym w:font="Wingdings" w:char="F0FA"/>
      </w:r>
      <w:r>
        <w:tab/>
      </w:r>
      <w:r w:rsidR="00EC7474">
        <w:t>Tipo IV: Suelo granular suelto o suelo cohesivo blando.</w:t>
      </w:r>
    </w:p>
    <w:p w:rsidR="00EC7474" w:rsidRDefault="00EC7474" w:rsidP="00EC7474">
      <w:pPr>
        <w:pStyle w:val="NORMAL0"/>
      </w:pPr>
      <w:r>
        <w:t>Para cada tipo de terreno la Norma establece un valor de C:</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0"/>
        <w:gridCol w:w="1780"/>
      </w:tblGrid>
      <w:tr w:rsidR="00EC7474" w:rsidTr="00404764">
        <w:trPr>
          <w:jc w:val="center"/>
        </w:trPr>
        <w:tc>
          <w:tcPr>
            <w:tcW w:w="0" w:type="auto"/>
            <w:tcBorders>
              <w:top w:val="single" w:sz="12" w:space="0" w:color="000000"/>
              <w:left w:val="single" w:sz="12" w:space="0" w:color="000000"/>
              <w:bottom w:val="single" w:sz="12" w:space="0" w:color="000000"/>
              <w:right w:val="single" w:sz="12" w:space="0" w:color="000000"/>
            </w:tcBorders>
            <w:shd w:val="pct12" w:color="auto" w:fill="FFFFFF" w:themeFill="background1"/>
            <w:vAlign w:val="center"/>
          </w:tcPr>
          <w:p w:rsidR="00EC7474" w:rsidRPr="00766B3B" w:rsidRDefault="00EC7474" w:rsidP="00404764">
            <w:pPr>
              <w:pStyle w:val="NORMAL0"/>
              <w:spacing w:after="0" w:line="240" w:lineRule="auto"/>
              <w:jc w:val="center"/>
              <w:rPr>
                <w:b/>
              </w:rPr>
            </w:pPr>
            <w:r w:rsidRPr="00766B3B">
              <w:rPr>
                <w:b/>
              </w:rPr>
              <w:t>Tipo de Terreno</w:t>
            </w:r>
          </w:p>
        </w:tc>
        <w:tc>
          <w:tcPr>
            <w:tcW w:w="0" w:type="auto"/>
            <w:tcBorders>
              <w:top w:val="single" w:sz="12" w:space="0" w:color="000000"/>
              <w:left w:val="single" w:sz="12" w:space="0" w:color="000000"/>
              <w:bottom w:val="single" w:sz="12" w:space="0" w:color="000000"/>
              <w:right w:val="single" w:sz="12" w:space="0" w:color="000000"/>
            </w:tcBorders>
            <w:shd w:val="pct12" w:color="auto" w:fill="FFFFFF" w:themeFill="background1"/>
            <w:vAlign w:val="center"/>
          </w:tcPr>
          <w:p w:rsidR="00EC7474" w:rsidRPr="00766B3B" w:rsidRDefault="00EC7474" w:rsidP="00404764">
            <w:pPr>
              <w:pStyle w:val="NORMAL0"/>
              <w:spacing w:after="0" w:line="240" w:lineRule="auto"/>
              <w:jc w:val="center"/>
              <w:rPr>
                <w:b/>
              </w:rPr>
            </w:pPr>
            <w:r w:rsidRPr="00766B3B">
              <w:rPr>
                <w:b/>
              </w:rPr>
              <w:t>Coef. de terreno C</w:t>
            </w:r>
          </w:p>
        </w:tc>
      </w:tr>
      <w:tr w:rsidR="00EC7474" w:rsidTr="00404764">
        <w:trPr>
          <w:jc w:val="center"/>
        </w:trPr>
        <w:tc>
          <w:tcPr>
            <w:tcW w:w="0" w:type="auto"/>
            <w:tcBorders>
              <w:top w:val="single" w:sz="12" w:space="0" w:color="000000"/>
              <w:left w:val="single" w:sz="12" w:space="0" w:color="000000"/>
              <w:bottom w:val="single" w:sz="6" w:space="0" w:color="000000"/>
              <w:right w:val="single" w:sz="6" w:space="0" w:color="000000"/>
            </w:tcBorders>
            <w:vAlign w:val="center"/>
          </w:tcPr>
          <w:p w:rsidR="00EC7474" w:rsidRDefault="00EC7474" w:rsidP="00404764">
            <w:pPr>
              <w:pStyle w:val="NORMAL0"/>
              <w:spacing w:after="0" w:line="240" w:lineRule="auto"/>
              <w:jc w:val="center"/>
            </w:pPr>
            <w:r>
              <w:t>I</w:t>
            </w:r>
          </w:p>
        </w:tc>
        <w:tc>
          <w:tcPr>
            <w:tcW w:w="0" w:type="auto"/>
            <w:tcBorders>
              <w:top w:val="single" w:sz="12" w:space="0" w:color="000000"/>
              <w:left w:val="single" w:sz="6" w:space="0" w:color="000000"/>
              <w:bottom w:val="single" w:sz="6" w:space="0" w:color="000000"/>
              <w:right w:val="single" w:sz="12" w:space="0" w:color="000000"/>
            </w:tcBorders>
            <w:vAlign w:val="center"/>
          </w:tcPr>
          <w:p w:rsidR="00EC7474" w:rsidRDefault="00EC7474" w:rsidP="00404764">
            <w:pPr>
              <w:pStyle w:val="NORMAL0"/>
              <w:spacing w:after="0" w:line="240" w:lineRule="auto"/>
              <w:jc w:val="center"/>
            </w:pPr>
            <w:r>
              <w:t>1,00</w:t>
            </w:r>
          </w:p>
        </w:tc>
      </w:tr>
      <w:tr w:rsidR="00EC7474" w:rsidTr="00404764">
        <w:trPr>
          <w:jc w:val="center"/>
        </w:trPr>
        <w:tc>
          <w:tcPr>
            <w:tcW w:w="0" w:type="auto"/>
            <w:tcBorders>
              <w:top w:val="single" w:sz="6" w:space="0" w:color="000000"/>
              <w:left w:val="single" w:sz="12" w:space="0" w:color="000000"/>
              <w:bottom w:val="single" w:sz="6" w:space="0" w:color="000000"/>
              <w:right w:val="single" w:sz="6" w:space="0" w:color="000000"/>
            </w:tcBorders>
            <w:vAlign w:val="center"/>
          </w:tcPr>
          <w:p w:rsidR="00EC7474" w:rsidRDefault="00EC7474" w:rsidP="00404764">
            <w:pPr>
              <w:pStyle w:val="NORMAL0"/>
              <w:spacing w:after="0" w:line="240" w:lineRule="auto"/>
              <w:jc w:val="center"/>
            </w:pPr>
            <w:r>
              <w:t>II</w:t>
            </w:r>
          </w:p>
        </w:tc>
        <w:tc>
          <w:tcPr>
            <w:tcW w:w="0" w:type="auto"/>
            <w:tcBorders>
              <w:top w:val="single" w:sz="6" w:space="0" w:color="000000"/>
              <w:left w:val="single" w:sz="6" w:space="0" w:color="000000"/>
              <w:bottom w:val="single" w:sz="6" w:space="0" w:color="000000"/>
              <w:right w:val="single" w:sz="12" w:space="0" w:color="000000"/>
            </w:tcBorders>
            <w:vAlign w:val="center"/>
          </w:tcPr>
          <w:p w:rsidR="00EC7474" w:rsidRDefault="00EC7474" w:rsidP="00404764">
            <w:pPr>
              <w:pStyle w:val="NORMAL0"/>
              <w:spacing w:after="0" w:line="240" w:lineRule="auto"/>
              <w:jc w:val="center"/>
            </w:pPr>
            <w:r>
              <w:t>1,30</w:t>
            </w:r>
          </w:p>
        </w:tc>
      </w:tr>
      <w:tr w:rsidR="00EC7474" w:rsidTr="00404764">
        <w:trPr>
          <w:jc w:val="center"/>
        </w:trPr>
        <w:tc>
          <w:tcPr>
            <w:tcW w:w="0" w:type="auto"/>
            <w:tcBorders>
              <w:top w:val="single" w:sz="6" w:space="0" w:color="000000"/>
              <w:left w:val="single" w:sz="12" w:space="0" w:color="000000"/>
              <w:bottom w:val="single" w:sz="6" w:space="0" w:color="000000"/>
              <w:right w:val="single" w:sz="6" w:space="0" w:color="000000"/>
            </w:tcBorders>
            <w:vAlign w:val="center"/>
          </w:tcPr>
          <w:p w:rsidR="00EC7474" w:rsidRDefault="00EC7474" w:rsidP="00404764">
            <w:pPr>
              <w:pStyle w:val="NORMAL0"/>
              <w:spacing w:after="0" w:line="240" w:lineRule="auto"/>
              <w:jc w:val="center"/>
            </w:pPr>
            <w:r>
              <w:t>III</w:t>
            </w:r>
          </w:p>
        </w:tc>
        <w:tc>
          <w:tcPr>
            <w:tcW w:w="0" w:type="auto"/>
            <w:tcBorders>
              <w:top w:val="single" w:sz="6" w:space="0" w:color="000000"/>
              <w:left w:val="single" w:sz="6" w:space="0" w:color="000000"/>
              <w:bottom w:val="single" w:sz="6" w:space="0" w:color="000000"/>
              <w:right w:val="single" w:sz="12" w:space="0" w:color="000000"/>
            </w:tcBorders>
            <w:vAlign w:val="center"/>
          </w:tcPr>
          <w:p w:rsidR="00EC7474" w:rsidRDefault="00EC7474" w:rsidP="00404764">
            <w:pPr>
              <w:pStyle w:val="NORMAL0"/>
              <w:spacing w:after="0" w:line="240" w:lineRule="auto"/>
              <w:jc w:val="center"/>
            </w:pPr>
            <w:r>
              <w:t>1,60</w:t>
            </w:r>
          </w:p>
        </w:tc>
      </w:tr>
      <w:tr w:rsidR="00EC7474" w:rsidTr="00404764">
        <w:trPr>
          <w:jc w:val="center"/>
        </w:trPr>
        <w:tc>
          <w:tcPr>
            <w:tcW w:w="0" w:type="auto"/>
            <w:tcBorders>
              <w:top w:val="single" w:sz="6" w:space="0" w:color="000000"/>
              <w:left w:val="single" w:sz="12" w:space="0" w:color="000000"/>
              <w:bottom w:val="single" w:sz="12" w:space="0" w:color="000000"/>
              <w:right w:val="single" w:sz="6" w:space="0" w:color="000000"/>
            </w:tcBorders>
            <w:vAlign w:val="center"/>
          </w:tcPr>
          <w:p w:rsidR="00EC7474" w:rsidRDefault="00EC7474" w:rsidP="00404764">
            <w:pPr>
              <w:pStyle w:val="NORMAL0"/>
              <w:spacing w:after="0" w:line="240" w:lineRule="auto"/>
              <w:jc w:val="center"/>
            </w:pPr>
            <w:r>
              <w:t>IV</w:t>
            </w:r>
          </w:p>
        </w:tc>
        <w:tc>
          <w:tcPr>
            <w:tcW w:w="0" w:type="auto"/>
            <w:tcBorders>
              <w:top w:val="single" w:sz="6" w:space="0" w:color="000000"/>
              <w:left w:val="single" w:sz="6" w:space="0" w:color="000000"/>
              <w:bottom w:val="single" w:sz="12" w:space="0" w:color="000000"/>
              <w:right w:val="single" w:sz="12" w:space="0" w:color="000000"/>
            </w:tcBorders>
            <w:vAlign w:val="center"/>
          </w:tcPr>
          <w:p w:rsidR="00EC7474" w:rsidRDefault="00EC7474" w:rsidP="00404764">
            <w:pPr>
              <w:pStyle w:val="NORMAL0"/>
              <w:spacing w:after="0" w:line="240" w:lineRule="auto"/>
              <w:jc w:val="center"/>
            </w:pPr>
            <w:r>
              <w:t>2,00</w:t>
            </w:r>
          </w:p>
        </w:tc>
      </w:tr>
    </w:tbl>
    <w:p w:rsidR="00EC7474" w:rsidRDefault="00EC7474" w:rsidP="00EC7474">
      <w:pPr>
        <w:pStyle w:val="NORMAL0"/>
      </w:pPr>
    </w:p>
    <w:p w:rsidR="00EC7474" w:rsidRDefault="00EC7474" w:rsidP="001B71AE">
      <w:pPr>
        <w:pStyle w:val="TTULO01"/>
      </w:pPr>
      <w:bookmarkStart w:id="7" w:name="_Toc258228013"/>
      <w:bookmarkStart w:id="8" w:name="_Toc473184949"/>
      <w:r>
        <w:t>2.</w:t>
      </w:r>
      <w:r w:rsidR="001B71AE">
        <w:tab/>
      </w:r>
      <w:r>
        <w:t>A</w:t>
      </w:r>
      <w:r w:rsidR="001B71AE">
        <w:t>cciones sísmicas</w:t>
      </w:r>
      <w:bookmarkEnd w:id="7"/>
      <w:bookmarkEnd w:id="8"/>
    </w:p>
    <w:p w:rsidR="00EC7474" w:rsidRDefault="00EC7474" w:rsidP="00EC7474">
      <w:pPr>
        <w:pStyle w:val="NORMAL0"/>
      </w:pPr>
      <w:r>
        <w:t xml:space="preserve">En la lista del Anejo 1 de la NCSP-07 se detallan por municipios los valores de la aceleración sísmica básica junto al coeficiente de contribución K; para </w:t>
      </w:r>
      <w:r w:rsidR="001B71AE">
        <w:t>Puerto Real</w:t>
      </w:r>
      <w:r>
        <w:t xml:space="preserve"> se tiene el siguiente valor:</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5"/>
        <w:gridCol w:w="762"/>
        <w:gridCol w:w="763"/>
      </w:tblGrid>
      <w:tr w:rsidR="00EC7474" w:rsidTr="00404764">
        <w:trPr>
          <w:jc w:val="center"/>
        </w:trPr>
        <w:tc>
          <w:tcPr>
            <w:tcW w:w="1595" w:type="dxa"/>
            <w:tcBorders>
              <w:top w:val="nil"/>
              <w:left w:val="nil"/>
              <w:bottom w:val="single" w:sz="12" w:space="0" w:color="000000"/>
              <w:right w:val="single" w:sz="12" w:space="0" w:color="000000"/>
            </w:tcBorders>
            <w:shd w:val="clear" w:color="auto" w:fill="auto"/>
            <w:vAlign w:val="center"/>
          </w:tcPr>
          <w:p w:rsidR="00EC7474" w:rsidRPr="00766B3B" w:rsidRDefault="00EC7474" w:rsidP="001B71AE">
            <w:pPr>
              <w:pStyle w:val="NORMAL0"/>
              <w:spacing w:after="0" w:line="240" w:lineRule="auto"/>
              <w:jc w:val="center"/>
              <w:rPr>
                <w:b/>
              </w:rPr>
            </w:pPr>
          </w:p>
        </w:tc>
        <w:tc>
          <w:tcPr>
            <w:tcW w:w="762" w:type="dxa"/>
            <w:tcBorders>
              <w:top w:val="single" w:sz="12" w:space="0" w:color="000000"/>
              <w:left w:val="single" w:sz="12" w:space="0" w:color="000000"/>
              <w:bottom w:val="single" w:sz="12" w:space="0" w:color="000000"/>
              <w:right w:val="single" w:sz="12" w:space="0" w:color="000000"/>
            </w:tcBorders>
            <w:shd w:val="pct12" w:color="auto" w:fill="FFFFFF" w:themeFill="background1"/>
            <w:vAlign w:val="center"/>
          </w:tcPr>
          <w:p w:rsidR="00EC7474" w:rsidRPr="00766B3B" w:rsidRDefault="00EC7474" w:rsidP="001B71AE">
            <w:pPr>
              <w:pStyle w:val="NORMAL0"/>
              <w:spacing w:after="0" w:line="240" w:lineRule="auto"/>
              <w:jc w:val="center"/>
              <w:rPr>
                <w:b/>
              </w:rPr>
            </w:pPr>
            <w:r w:rsidRPr="00766B3B">
              <w:rPr>
                <w:b/>
              </w:rPr>
              <w:t>a</w:t>
            </w:r>
            <w:r w:rsidRPr="00766B3B">
              <w:rPr>
                <w:b/>
                <w:vertAlign w:val="subscript"/>
              </w:rPr>
              <w:t>b</w:t>
            </w:r>
            <w:r w:rsidRPr="00766B3B">
              <w:rPr>
                <w:b/>
              </w:rPr>
              <w:t>/g</w:t>
            </w:r>
          </w:p>
        </w:tc>
        <w:tc>
          <w:tcPr>
            <w:tcW w:w="763" w:type="dxa"/>
            <w:tcBorders>
              <w:top w:val="single" w:sz="12" w:space="0" w:color="000000"/>
              <w:left w:val="single" w:sz="12" w:space="0" w:color="000000"/>
              <w:bottom w:val="single" w:sz="12" w:space="0" w:color="000000"/>
              <w:right w:val="single" w:sz="12" w:space="0" w:color="000000"/>
            </w:tcBorders>
            <w:shd w:val="pct12" w:color="auto" w:fill="FFFFFF" w:themeFill="background1"/>
            <w:vAlign w:val="center"/>
          </w:tcPr>
          <w:p w:rsidR="00EC7474" w:rsidRPr="00766B3B" w:rsidRDefault="00EC7474" w:rsidP="001B71AE">
            <w:pPr>
              <w:pStyle w:val="NORMAL0"/>
              <w:spacing w:after="0" w:line="240" w:lineRule="auto"/>
              <w:jc w:val="center"/>
              <w:rPr>
                <w:b/>
              </w:rPr>
            </w:pPr>
            <w:r w:rsidRPr="00766B3B">
              <w:rPr>
                <w:b/>
              </w:rPr>
              <w:t>K</w:t>
            </w:r>
          </w:p>
        </w:tc>
      </w:tr>
      <w:tr w:rsidR="00EC7474" w:rsidTr="00404764">
        <w:trPr>
          <w:jc w:val="center"/>
        </w:trPr>
        <w:tc>
          <w:tcPr>
            <w:tcW w:w="1595" w:type="dxa"/>
            <w:tcBorders>
              <w:top w:val="single" w:sz="12" w:space="0" w:color="000000"/>
              <w:left w:val="single" w:sz="12" w:space="0" w:color="000000"/>
              <w:bottom w:val="single" w:sz="12" w:space="0" w:color="000000"/>
              <w:right w:val="single" w:sz="6" w:space="0" w:color="000000"/>
            </w:tcBorders>
            <w:vAlign w:val="center"/>
          </w:tcPr>
          <w:p w:rsidR="00EC7474" w:rsidRDefault="001B71AE" w:rsidP="001B71AE">
            <w:pPr>
              <w:pStyle w:val="NORMAL0"/>
              <w:spacing w:after="0" w:line="240" w:lineRule="auto"/>
              <w:jc w:val="left"/>
            </w:pPr>
            <w:r>
              <w:t>Puerto Real</w:t>
            </w:r>
          </w:p>
        </w:tc>
        <w:tc>
          <w:tcPr>
            <w:tcW w:w="762" w:type="dxa"/>
            <w:tcBorders>
              <w:top w:val="single" w:sz="12" w:space="0" w:color="000000"/>
              <w:left w:val="single" w:sz="6" w:space="0" w:color="000000"/>
              <w:bottom w:val="single" w:sz="12" w:space="0" w:color="000000"/>
              <w:right w:val="single" w:sz="6" w:space="0" w:color="000000"/>
            </w:tcBorders>
            <w:vAlign w:val="center"/>
          </w:tcPr>
          <w:p w:rsidR="00EC7474" w:rsidRDefault="00EC7474" w:rsidP="001B71AE">
            <w:pPr>
              <w:pStyle w:val="NORMAL0"/>
              <w:spacing w:after="0" w:line="240" w:lineRule="auto"/>
              <w:jc w:val="center"/>
            </w:pPr>
            <w:r>
              <w:t>0,06</w:t>
            </w:r>
          </w:p>
        </w:tc>
        <w:tc>
          <w:tcPr>
            <w:tcW w:w="763" w:type="dxa"/>
            <w:tcBorders>
              <w:top w:val="single" w:sz="12" w:space="0" w:color="000000"/>
              <w:left w:val="single" w:sz="6" w:space="0" w:color="000000"/>
              <w:bottom w:val="single" w:sz="12" w:space="0" w:color="000000"/>
              <w:right w:val="single" w:sz="12" w:space="0" w:color="000000"/>
            </w:tcBorders>
            <w:vAlign w:val="center"/>
          </w:tcPr>
          <w:p w:rsidR="00EC7474" w:rsidRDefault="00EC7474" w:rsidP="001B71AE">
            <w:pPr>
              <w:pStyle w:val="NORMAL0"/>
              <w:spacing w:after="0" w:line="240" w:lineRule="auto"/>
              <w:jc w:val="center"/>
            </w:pPr>
            <w:r>
              <w:t>1,</w:t>
            </w:r>
            <w:r w:rsidR="001B71AE">
              <w:t>3</w:t>
            </w:r>
            <w:r>
              <w:t>0</w:t>
            </w:r>
          </w:p>
        </w:tc>
      </w:tr>
    </w:tbl>
    <w:p w:rsidR="00EC7474" w:rsidRDefault="00EC7474" w:rsidP="001B71AE">
      <w:pPr>
        <w:pStyle w:val="NORMAL0"/>
        <w:spacing w:before="160"/>
      </w:pPr>
      <w:r>
        <w:t xml:space="preserve">El coeficiente adimensional de riesgo toma el valor de </w:t>
      </w:r>
      <w:r w:rsidRPr="00346047">
        <w:rPr>
          <w:position w:val="-10"/>
        </w:rPr>
        <w:object w:dxaOrig="820" w:dyaOrig="320">
          <v:shape id="_x0000_i1034" type="#_x0000_t75" style="width:41.25pt;height:15.75pt" o:ole="">
            <v:imagedata r:id="rId27" o:title=""/>
          </v:shape>
          <o:OLEObject Type="Embed" ProgID="Equation.DSMT4" ShapeID="_x0000_i1034" DrawAspect="Content" ObjectID="_1546926849" r:id="rId28"/>
        </w:object>
      </w:r>
      <w:r>
        <w:t xml:space="preserve"> para una construcción de importancia normal, como lo es una pasarela peatonal.</w:t>
      </w:r>
    </w:p>
    <w:p w:rsidR="00EC7474" w:rsidRDefault="00EC7474" w:rsidP="00EC7474">
      <w:pPr>
        <w:pStyle w:val="NORMAL0"/>
      </w:pPr>
      <w:r>
        <w:t xml:space="preserve">De este modo se obtiene el producto </w:t>
      </w:r>
      <w:r w:rsidRPr="00346047">
        <w:rPr>
          <w:position w:val="-12"/>
        </w:rPr>
        <w:object w:dxaOrig="520" w:dyaOrig="360">
          <v:shape id="_x0000_i1035" type="#_x0000_t75" style="width:26.25pt;height:18pt" o:ole="">
            <v:imagedata r:id="rId29" o:title=""/>
          </v:shape>
          <o:OLEObject Type="Embed" ProgID="Equation.DSMT4" ShapeID="_x0000_i1035" DrawAspect="Content" ObjectID="_1546926850" r:id="rId30"/>
        </w:object>
      </w:r>
      <w:r>
        <w:t xml:space="preserve">, que tendrá el siguiente valor: </w:t>
      </w:r>
      <w:r w:rsidRPr="00346047">
        <w:rPr>
          <w:position w:val="-10"/>
        </w:rPr>
        <w:object w:dxaOrig="700" w:dyaOrig="320">
          <v:shape id="_x0000_i1036" type="#_x0000_t75" style="width:35.25pt;height:15.75pt" o:ole="">
            <v:imagedata r:id="rId31" o:title=""/>
          </v:shape>
          <o:OLEObject Type="Embed" ProgID="Equation.DSMT4" ShapeID="_x0000_i1036" DrawAspect="Content" ObjectID="_1546926851" r:id="rId32"/>
        </w:object>
      </w:r>
      <w:r>
        <w:t>. El coeficiente de amplificación del terreno vendrá dado por la siguiente expresión:</w:t>
      </w:r>
    </w:p>
    <w:p w:rsidR="00EC7474" w:rsidRDefault="00EC7474" w:rsidP="001B71AE">
      <w:pPr>
        <w:pStyle w:val="NORMAL0"/>
        <w:jc w:val="center"/>
      </w:pPr>
      <w:r w:rsidRPr="00E770FD">
        <w:rPr>
          <w:position w:val="-28"/>
        </w:rPr>
        <w:object w:dxaOrig="820" w:dyaOrig="660">
          <v:shape id="_x0000_i1037" type="#_x0000_t75" style="width:41.25pt;height:33pt" o:ole="">
            <v:imagedata r:id="rId17" o:title=""/>
          </v:shape>
          <o:OLEObject Type="Embed" ProgID="Equation.DSMT4" ShapeID="_x0000_i1037" DrawAspect="Content" ObjectID="_1546926852" r:id="rId33"/>
        </w:object>
      </w:r>
      <w:r w:rsidRPr="007C7261">
        <w:t xml:space="preserve"> </w:t>
      </w:r>
      <w:r>
        <w:t xml:space="preserve">(Para </w:t>
      </w:r>
      <w:r w:rsidRPr="00E770FD">
        <w:rPr>
          <w:position w:val="-12"/>
        </w:rPr>
        <w:object w:dxaOrig="1400" w:dyaOrig="360">
          <v:shape id="_x0000_i1038" type="#_x0000_t75" style="width:69.75pt;height:18pt" o:ole="">
            <v:imagedata r:id="rId15" o:title=""/>
          </v:shape>
          <o:OLEObject Type="Embed" ProgID="Equation.DSMT4" ShapeID="_x0000_i1038" DrawAspect="Content" ObjectID="_1546926853" r:id="rId34"/>
        </w:object>
      </w:r>
      <w:r>
        <w:t>)</w:t>
      </w:r>
    </w:p>
    <w:p w:rsidR="00EC7474" w:rsidRDefault="00EC7474" w:rsidP="00EC7474">
      <w:pPr>
        <w:pStyle w:val="NORMAL0"/>
      </w:pPr>
      <w:r>
        <w:t xml:space="preserve">El coeficiente C se obtiene a partir del tipo de terreno, corresponde a un terreno tipo III (suelo granular de compacidad media, o suelo cohesivo de consistencia firme a muy firme. Velocidad de propagación de las ondas elásticas transversales o de cizalla, 400 m/s </w:t>
      </w:r>
      <w:r w:rsidRPr="007C7261">
        <w:rPr>
          <w:position w:val="-4"/>
        </w:rPr>
        <w:object w:dxaOrig="200" w:dyaOrig="240">
          <v:shape id="_x0000_i1039" type="#_x0000_t75" style="width:9.75pt;height:12pt" o:ole="">
            <v:imagedata r:id="rId35" o:title=""/>
          </v:shape>
          <o:OLEObject Type="Embed" ProgID="Equation.DSMT4" ShapeID="_x0000_i1039" DrawAspect="Content" ObjectID="_1546926854" r:id="rId36"/>
        </w:object>
      </w:r>
      <w:r>
        <w:t xml:space="preserve"> vs </w:t>
      </w:r>
      <w:r w:rsidRPr="007C7261">
        <w:rPr>
          <w:position w:val="-4"/>
        </w:rPr>
        <w:object w:dxaOrig="200" w:dyaOrig="240">
          <v:shape id="_x0000_i1040" type="#_x0000_t75" style="width:9.75pt;height:12pt" o:ole="">
            <v:imagedata r:id="rId35" o:title=""/>
          </v:shape>
          <o:OLEObject Type="Embed" ProgID="Equation.DSMT4" ShapeID="_x0000_i1040" DrawAspect="Content" ObjectID="_1546926855" r:id="rId37"/>
        </w:object>
      </w:r>
      <w:r>
        <w:t xml:space="preserve"> 200 m/s). Se aplica un coeficiente de valor de C= 1</w:t>
      </w:r>
      <w:r w:rsidR="00F0227B">
        <w:t>,</w:t>
      </w:r>
      <w:r>
        <w:t>6</w:t>
      </w:r>
      <w:r w:rsidR="00F0227B">
        <w:t>0</w:t>
      </w:r>
      <w:r>
        <w:t>.</w:t>
      </w:r>
    </w:p>
    <w:p w:rsidR="00EC7474" w:rsidRDefault="00EC7474" w:rsidP="00EC7474">
      <w:pPr>
        <w:pStyle w:val="NORMAL0"/>
      </w:pPr>
      <w:r>
        <w:t>Por tanto, se considera un coeficiente de amplificación del terreno S=1,28.</w:t>
      </w:r>
    </w:p>
    <w:p w:rsidR="00EC7474" w:rsidRDefault="00EC7474" w:rsidP="00EC7474">
      <w:pPr>
        <w:pStyle w:val="NORMAL0"/>
      </w:pPr>
      <w:r>
        <w:t xml:space="preserve">Una vez definidos S, </w:t>
      </w:r>
      <w:r w:rsidRPr="007C7261">
        <w:rPr>
          <w:position w:val="-10"/>
        </w:rPr>
        <w:object w:dxaOrig="240" w:dyaOrig="260">
          <v:shape id="_x0000_i1041" type="#_x0000_t75" style="width:12pt;height:12.75pt" o:ole="">
            <v:imagedata r:id="rId38" o:title=""/>
          </v:shape>
          <o:OLEObject Type="Embed" ProgID="Equation.DSMT4" ShapeID="_x0000_i1041" DrawAspect="Content" ObjectID="_1546926856" r:id="rId39"/>
        </w:object>
      </w:r>
      <w:r>
        <w:t xml:space="preserve"> y a</w:t>
      </w:r>
      <w:r w:rsidRPr="007C7261">
        <w:rPr>
          <w:vertAlign w:val="subscript"/>
        </w:rPr>
        <w:t>b</w:t>
      </w:r>
      <w:r>
        <w:t xml:space="preserve"> se obtiene la aceleración sísmica de cálculo, que tendrá el siguiente valor:</w:t>
      </w:r>
    </w:p>
    <w:p w:rsidR="00EC7474" w:rsidRDefault="00404764" w:rsidP="001B71AE">
      <w:pPr>
        <w:pStyle w:val="NORMAL0"/>
        <w:jc w:val="center"/>
      </w:pPr>
      <w:r w:rsidRPr="007C7261">
        <w:rPr>
          <w:position w:val="-12"/>
        </w:rPr>
        <w:object w:dxaOrig="2320" w:dyaOrig="360">
          <v:shape id="_x0000_i1042" type="#_x0000_t75" style="width:116.25pt;height:18pt" o:ole="">
            <v:imagedata r:id="rId40" o:title=""/>
          </v:shape>
          <o:OLEObject Type="Embed" ProgID="Equation.DSMT4" ShapeID="_x0000_i1042" DrawAspect="Content" ObjectID="_1546926857" r:id="rId41"/>
        </w:object>
      </w:r>
    </w:p>
    <w:p w:rsidR="00EC7474" w:rsidRDefault="00EC7474" w:rsidP="00EC7474">
      <w:pPr>
        <w:pStyle w:val="NORMAL0"/>
      </w:pPr>
    </w:p>
    <w:p w:rsidR="00EC7474" w:rsidRDefault="00EC7474" w:rsidP="001B71AE">
      <w:pPr>
        <w:pStyle w:val="TTULO01"/>
      </w:pPr>
      <w:bookmarkStart w:id="9" w:name="_Toc258228014"/>
      <w:bookmarkStart w:id="10" w:name="_Toc473184950"/>
      <w:r>
        <w:lastRenderedPageBreak/>
        <w:t>3.</w:t>
      </w:r>
      <w:r w:rsidR="001B71AE">
        <w:tab/>
      </w:r>
      <w:r>
        <w:t>E</w:t>
      </w:r>
      <w:r w:rsidR="001B71AE">
        <w:t>fectos sísmicos en estructuras</w:t>
      </w:r>
      <w:bookmarkEnd w:id="9"/>
      <w:bookmarkEnd w:id="10"/>
    </w:p>
    <w:p w:rsidR="00EC7474" w:rsidRDefault="00EC7474" w:rsidP="00EC7474">
      <w:pPr>
        <w:pStyle w:val="NORMAL0"/>
      </w:pPr>
      <w:r>
        <w:t>Para obtener la fuerza sísmica y su reparto entre pilas y estribos, se ha realizado un modelo 3D de nudos y barras de la estructura, que modeliza el comportamiento de ésta frente a acciones horizontales. Las barras tienen iguales características mecánicas que los elementos a los que representan (pilas, apoyos, tablero, etc.). En este modelo se introduce el espectro elástico de respuesta de la estructura, necesario para calcular las acciones debidas al sismo, y las masas concomitantes con el sismo.</w:t>
      </w:r>
    </w:p>
    <w:p w:rsidR="00EC7474" w:rsidRDefault="00EC7474" w:rsidP="00EC7474">
      <w:pPr>
        <w:pStyle w:val="NORMAL0"/>
      </w:pPr>
      <w:r>
        <w:t>Para la definición de la aceleración de cálculo para las estructuras se ha tenido también en cuenta la “</w:t>
      </w:r>
      <w:r w:rsidRPr="007C7261">
        <w:rPr>
          <w:i/>
        </w:rPr>
        <w:t>Instrucción sobre las acciones a considerar en puentes de carretera</w:t>
      </w:r>
      <w:r>
        <w:t>” (IAP). Según el citado texto normativo, el cálculo de las acciones sísmicas es ineludible ya que la acción de cálculo es superior o igual a 0,06·g, siendo g la aceleración de la gravedad.</w:t>
      </w:r>
    </w:p>
    <w:p w:rsidR="00EC7474" w:rsidRDefault="00EC7474" w:rsidP="001B71AE">
      <w:pPr>
        <w:pStyle w:val="NORMAL0"/>
        <w:jc w:val="center"/>
      </w:pPr>
      <w:r w:rsidRPr="00156210">
        <w:rPr>
          <w:noProof/>
          <w:lang w:eastAsia="es-ES"/>
        </w:rPr>
        <w:drawing>
          <wp:inline distT="0" distB="0" distL="0" distR="0">
            <wp:extent cx="5038725" cy="307657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áfico 2"/>
                    <pic:cNvPicPr>
                      <a:picLocks noChangeAspect="1" noChangeArrowheads="1"/>
                    </pic:cNvPicPr>
                  </pic:nvPicPr>
                  <pic:blipFill>
                    <a:blip r:embed="rId42">
                      <a:extLst>
                        <a:ext uri="{28A0092B-C50C-407E-A947-70E740481C1C}">
                          <a14:useLocalDpi xmlns:a14="http://schemas.microsoft.com/office/drawing/2010/main" val="0"/>
                        </a:ext>
                      </a:extLst>
                    </a:blip>
                    <a:srcRect l="-1114" t="-3767" r="-1048" b="-1662"/>
                    <a:stretch>
                      <a:fillRect/>
                    </a:stretch>
                  </pic:blipFill>
                  <pic:spPr bwMode="auto">
                    <a:xfrm>
                      <a:off x="0" y="0"/>
                      <a:ext cx="5038725" cy="3076575"/>
                    </a:xfrm>
                    <a:prstGeom prst="rect">
                      <a:avLst/>
                    </a:prstGeom>
                    <a:noFill/>
                    <a:ln>
                      <a:noFill/>
                    </a:ln>
                  </pic:spPr>
                </pic:pic>
              </a:graphicData>
            </a:graphic>
          </wp:inline>
        </w:drawing>
      </w:r>
    </w:p>
    <w:p w:rsidR="00EC7474" w:rsidRDefault="00EC7474" w:rsidP="00EC7474">
      <w:pPr>
        <w:pStyle w:val="NORMAL0"/>
      </w:pPr>
      <w:r>
        <w:t xml:space="preserve">El método de cálculo utilizado para la acción sísmica es el Análisis Espectral con Superposición Modal, válido en virtud de lo dispuesto en el artículo 4.2.4 de la NCSP-07. Este método está basado en el empleo del espectro de respuesta, y requiere la combinación ponderada de las solicitaciones provenientes de cada modo de vibración de la estructura. Se hallan los 80 modos de vibración de mayor período, comprobándose que la suma de las masas efectivas de los mismos es siempre superior (tanto para el sismo longitudinal como para el transversal) al 90% de la masa movilizada en el movimiento sísmico, lo que es garantía de su representatividad. </w:t>
      </w:r>
    </w:p>
    <w:p w:rsidR="00EC7474" w:rsidRDefault="00EC7474" w:rsidP="00EC7474">
      <w:pPr>
        <w:pStyle w:val="NORMAL0"/>
      </w:pPr>
      <w:r>
        <w:t xml:space="preserve">La combinación de los resultados obtenidos en el análisis de los diferentes modos de vibración, que debe efectuarse para toda variable asociada a cada grado de libertad supuesto (desplazamientos, esfuerzos, tensiones, etc.), se materializa según la regla de combinación denominada “CQC” (Complete Quadratic Combination), la cual permite tomar en consideración la posibilidad de que modos de vibración de períodos similares puedan acoplarse. </w:t>
      </w:r>
    </w:p>
    <w:p w:rsidR="00EC7474" w:rsidRDefault="00EC7474" w:rsidP="00EC7474">
      <w:pPr>
        <w:pStyle w:val="NORMAL0"/>
      </w:pPr>
      <w:r>
        <w:t>El cálculo sísmico se realiza suponiendo comportamiento elástico de la estructura (q = 1.0), al apoyarse el tablero sobre neoprenos. De esta forma, basta con calcular la estructura en sismo último, según NCSP-07.</w:t>
      </w:r>
    </w:p>
    <w:p w:rsidR="00EC7474" w:rsidRDefault="00EC7474" w:rsidP="00EC7474">
      <w:pPr>
        <w:pStyle w:val="NORMAL0"/>
      </w:pPr>
    </w:p>
    <w:sectPr w:rsidR="00EC7474" w:rsidSect="00442ED8">
      <w:footerReference w:type="default" r:id="rId43"/>
      <w:pgSz w:w="23814" w:h="16840" w:orient="landscape" w:code="8"/>
      <w:pgMar w:top="1701" w:right="1134" w:bottom="1134" w:left="1701" w:header="709" w:footer="709" w:gutter="0"/>
      <w:cols w:num="2" w:space="95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899" w:rsidRDefault="002C1899" w:rsidP="00263054">
      <w:pPr>
        <w:spacing w:after="0" w:line="240" w:lineRule="auto"/>
      </w:pPr>
      <w:r>
        <w:separator/>
      </w:r>
    </w:p>
  </w:endnote>
  <w:endnote w:type="continuationSeparator" w:id="0">
    <w:p w:rsidR="002C1899" w:rsidRDefault="002C1899" w:rsidP="00263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single" w:sz="12"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982"/>
      <w:gridCol w:w="987"/>
    </w:tblGrid>
    <w:tr w:rsidR="002C1899" w:rsidTr="00EC1D79">
      <w:tc>
        <w:tcPr>
          <w:tcW w:w="19982" w:type="dxa"/>
          <w:vAlign w:val="center"/>
        </w:tcPr>
        <w:p w:rsidR="002C1899" w:rsidRDefault="002C1899" w:rsidP="002C1899">
          <w:pPr>
            <w:pStyle w:val="Piedepgina"/>
            <w:jc w:val="center"/>
            <w:rPr>
              <w:sz w:val="12"/>
              <w:szCs w:val="12"/>
            </w:rPr>
          </w:pPr>
          <w:r>
            <w:rPr>
              <w:b/>
            </w:rPr>
            <w:t>Anejo Nº. 7 – EFECTOS SÍSMICOS</w:t>
          </w:r>
          <w:r>
            <w:t xml:space="preserve"> – </w:t>
          </w:r>
          <w:r>
            <w:rPr>
              <w:i/>
            </w:rPr>
            <w:t>Índice</w:t>
          </w:r>
        </w:p>
      </w:tc>
      <w:tc>
        <w:tcPr>
          <w:tcW w:w="987" w:type="dxa"/>
          <w:vAlign w:val="center"/>
        </w:tcPr>
        <w:p w:rsidR="002C1899" w:rsidRDefault="002C1899" w:rsidP="00EC1D79">
          <w:pPr>
            <w:pStyle w:val="Piedepgina"/>
            <w:jc w:val="right"/>
            <w:rPr>
              <w:sz w:val="12"/>
              <w:szCs w:val="12"/>
            </w:rPr>
          </w:pPr>
          <w:r>
            <w:t xml:space="preserve">- </w:t>
          </w:r>
          <w:r>
            <w:rPr>
              <w:i/>
            </w:rPr>
            <w:fldChar w:fldCharType="begin"/>
          </w:r>
          <w:r>
            <w:rPr>
              <w:i/>
            </w:rPr>
            <w:instrText xml:space="preserve"> PAGE  \* roman  \* MERGEFORMAT </w:instrText>
          </w:r>
          <w:r>
            <w:rPr>
              <w:i/>
            </w:rPr>
            <w:fldChar w:fldCharType="separate"/>
          </w:r>
          <w:r w:rsidR="00531604">
            <w:rPr>
              <w:i/>
              <w:noProof/>
            </w:rPr>
            <w:t>i</w:t>
          </w:r>
          <w:r>
            <w:rPr>
              <w:i/>
            </w:rPr>
            <w:fldChar w:fldCharType="end"/>
          </w:r>
          <w:r>
            <w:t xml:space="preserve"> -</w:t>
          </w:r>
        </w:p>
      </w:tc>
    </w:tr>
  </w:tbl>
  <w:p w:rsidR="002C1899" w:rsidRPr="00263054" w:rsidRDefault="002C1899">
    <w:pPr>
      <w:pStyle w:val="Piedepgina"/>
      <w:rPr>
        <w:sz w:val="12"/>
        <w:szCs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single" w:sz="12"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982"/>
      <w:gridCol w:w="987"/>
    </w:tblGrid>
    <w:tr w:rsidR="002C1899" w:rsidTr="002C1899">
      <w:tc>
        <w:tcPr>
          <w:tcW w:w="19982" w:type="dxa"/>
          <w:vAlign w:val="center"/>
        </w:tcPr>
        <w:p w:rsidR="002C1899" w:rsidRDefault="002C1899" w:rsidP="002C1899">
          <w:pPr>
            <w:pStyle w:val="Piedepgina"/>
            <w:jc w:val="center"/>
            <w:rPr>
              <w:sz w:val="12"/>
              <w:szCs w:val="12"/>
            </w:rPr>
          </w:pPr>
          <w:r>
            <w:rPr>
              <w:b/>
            </w:rPr>
            <w:t>Anejo Nº. 7 – EFECTOS SÍSMICOS</w:t>
          </w:r>
        </w:p>
      </w:tc>
      <w:tc>
        <w:tcPr>
          <w:tcW w:w="987" w:type="dxa"/>
          <w:vAlign w:val="center"/>
        </w:tcPr>
        <w:p w:rsidR="002C1899" w:rsidRPr="002C7D49" w:rsidRDefault="002C1899" w:rsidP="00EC1D79">
          <w:pPr>
            <w:pStyle w:val="Piedepgina"/>
            <w:jc w:val="right"/>
            <w:rPr>
              <w:i/>
              <w:sz w:val="12"/>
              <w:szCs w:val="12"/>
            </w:rPr>
          </w:pPr>
          <w:r w:rsidRPr="002C7D49">
            <w:rPr>
              <w:i/>
            </w:rPr>
            <w:t xml:space="preserve">- </w:t>
          </w:r>
          <w:r w:rsidRPr="002C7D49">
            <w:rPr>
              <w:i/>
            </w:rPr>
            <w:fldChar w:fldCharType="begin"/>
          </w:r>
          <w:r w:rsidRPr="002C7D49">
            <w:rPr>
              <w:i/>
            </w:rPr>
            <w:instrText xml:space="preserve"> PAGE  \* Arabic  \* MERGEFORMAT </w:instrText>
          </w:r>
          <w:r w:rsidRPr="002C7D49">
            <w:rPr>
              <w:i/>
            </w:rPr>
            <w:fldChar w:fldCharType="separate"/>
          </w:r>
          <w:r w:rsidR="00531604">
            <w:rPr>
              <w:i/>
              <w:noProof/>
            </w:rPr>
            <w:t>2</w:t>
          </w:r>
          <w:r w:rsidRPr="002C7D49">
            <w:rPr>
              <w:i/>
            </w:rPr>
            <w:fldChar w:fldCharType="end"/>
          </w:r>
          <w:r w:rsidRPr="002C7D49">
            <w:rPr>
              <w:i/>
            </w:rPr>
            <w:t xml:space="preserve"> -</w:t>
          </w:r>
        </w:p>
      </w:tc>
    </w:tr>
  </w:tbl>
  <w:p w:rsidR="002C1899" w:rsidRPr="00263054" w:rsidRDefault="002C1899" w:rsidP="00EC1D79">
    <w:pPr>
      <w:pStyle w:val="Piedepgina"/>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899" w:rsidRDefault="002C1899" w:rsidP="00263054">
      <w:pPr>
        <w:spacing w:after="0" w:line="240" w:lineRule="auto"/>
      </w:pPr>
      <w:r>
        <w:separator/>
      </w:r>
    </w:p>
  </w:footnote>
  <w:footnote w:type="continuationSeparator" w:id="0">
    <w:p w:rsidR="002C1899" w:rsidRDefault="002C1899" w:rsidP="002630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none" w:sz="0" w:space="0" w:color="auto"/>
        <w:left w:val="none" w:sz="0" w:space="0" w:color="auto"/>
        <w:bottom w:val="single" w:sz="12" w:space="0" w:color="auto"/>
        <w:right w:val="none" w:sz="0" w:space="0" w:color="auto"/>
        <w:insideV w:val="none" w:sz="0" w:space="0" w:color="auto"/>
      </w:tblBorders>
      <w:tblLook w:val="04A0" w:firstRow="1" w:lastRow="0" w:firstColumn="1" w:lastColumn="0" w:noHBand="0" w:noVBand="1"/>
    </w:tblPr>
    <w:tblGrid>
      <w:gridCol w:w="4390"/>
      <w:gridCol w:w="14458"/>
      <w:gridCol w:w="2121"/>
    </w:tblGrid>
    <w:tr w:rsidR="002C1899" w:rsidTr="00EC1D79">
      <w:tc>
        <w:tcPr>
          <w:tcW w:w="4390" w:type="dxa"/>
          <w:vAlign w:val="center"/>
        </w:tcPr>
        <w:p w:rsidR="002C1899" w:rsidRDefault="002C1899" w:rsidP="00EC1D79">
          <w:pPr>
            <w:pStyle w:val="Encabezado"/>
            <w:jc w:val="left"/>
            <w:rPr>
              <w:sz w:val="12"/>
              <w:szCs w:val="12"/>
            </w:rPr>
          </w:pPr>
          <w:r>
            <w:rPr>
              <w:noProof/>
              <w:lang w:eastAsia="es-ES"/>
            </w:rPr>
            <w:drawing>
              <wp:inline distT="0" distB="0" distL="0" distR="0" wp14:anchorId="518FBBF2" wp14:editId="122A038A">
                <wp:extent cx="2641048" cy="540000"/>
                <wp:effectExtent l="0" t="0" r="698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CA_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41048" cy="540000"/>
                        </a:xfrm>
                        <a:prstGeom prst="rect">
                          <a:avLst/>
                        </a:prstGeom>
                      </pic:spPr>
                    </pic:pic>
                  </a:graphicData>
                </a:graphic>
              </wp:inline>
            </w:drawing>
          </w:r>
        </w:p>
      </w:tc>
      <w:tc>
        <w:tcPr>
          <w:tcW w:w="14458" w:type="dxa"/>
          <w:vAlign w:val="center"/>
        </w:tcPr>
        <w:p w:rsidR="002C1899" w:rsidRDefault="002C1899" w:rsidP="00EC1D79">
          <w:pPr>
            <w:pStyle w:val="Encabezado"/>
            <w:jc w:val="center"/>
            <w:rPr>
              <w:sz w:val="12"/>
              <w:szCs w:val="12"/>
            </w:rPr>
          </w:pPr>
          <w:r>
            <w:rPr>
              <w:b/>
            </w:rPr>
            <w:t>PROYECTO DE CONSTRUCCIÓN “</w:t>
          </w:r>
          <w:r>
            <w:rPr>
              <w:b/>
              <w:i/>
            </w:rPr>
            <w:t>Pasarela sobre la carretera CA-32, para conexión peatonal y bicicletas, desde apeadero Las Aletas a la</w:t>
          </w:r>
          <w:r>
            <w:rPr>
              <w:b/>
              <w:i/>
            </w:rPr>
            <w:br/>
            <w:t>Escuela Superior de Ingeniería de la Universidad de Cádiz, T.M. de Puerto Real (Cádiz)</w:t>
          </w:r>
          <w:r>
            <w:rPr>
              <w:b/>
            </w:rPr>
            <w:t>”</w:t>
          </w:r>
        </w:p>
      </w:tc>
      <w:tc>
        <w:tcPr>
          <w:tcW w:w="2121" w:type="dxa"/>
          <w:vAlign w:val="center"/>
        </w:tcPr>
        <w:p w:rsidR="002C1899" w:rsidRDefault="002C1899" w:rsidP="00EC1D79">
          <w:pPr>
            <w:pStyle w:val="Encabezado"/>
            <w:jc w:val="right"/>
            <w:rPr>
              <w:sz w:val="12"/>
              <w:szCs w:val="12"/>
            </w:rPr>
          </w:pPr>
          <w:r>
            <w:rPr>
              <w:noProof/>
              <w:lang w:eastAsia="es-ES"/>
            </w:rPr>
            <w:drawing>
              <wp:inline distT="0" distB="0" distL="0" distR="0" wp14:anchorId="42BEF3D9" wp14:editId="329D9437">
                <wp:extent cx="1135761" cy="540000"/>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TG.jpg"/>
                        <pic:cNvPicPr/>
                      </pic:nvPicPr>
                      <pic:blipFill>
                        <a:blip r:embed="rId2">
                          <a:extLst>
                            <a:ext uri="{28A0092B-C50C-407E-A947-70E740481C1C}">
                              <a14:useLocalDpi xmlns:a14="http://schemas.microsoft.com/office/drawing/2010/main" val="0"/>
                            </a:ext>
                          </a:extLst>
                        </a:blip>
                        <a:stretch>
                          <a:fillRect/>
                        </a:stretch>
                      </pic:blipFill>
                      <pic:spPr>
                        <a:xfrm>
                          <a:off x="0" y="0"/>
                          <a:ext cx="1135761" cy="540000"/>
                        </a:xfrm>
                        <a:prstGeom prst="rect">
                          <a:avLst/>
                        </a:prstGeom>
                      </pic:spPr>
                    </pic:pic>
                  </a:graphicData>
                </a:graphic>
              </wp:inline>
            </w:drawing>
          </w:r>
        </w:p>
      </w:tc>
    </w:tr>
  </w:tbl>
  <w:p w:rsidR="002C1899" w:rsidRPr="00263054" w:rsidRDefault="002C1899" w:rsidP="00263054">
    <w:pPr>
      <w:pStyle w:val="Encabezado"/>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054"/>
    <w:rsid w:val="000F4686"/>
    <w:rsid w:val="00141995"/>
    <w:rsid w:val="001B71AE"/>
    <w:rsid w:val="00263054"/>
    <w:rsid w:val="002961B6"/>
    <w:rsid w:val="002C1899"/>
    <w:rsid w:val="002C7D49"/>
    <w:rsid w:val="002D7964"/>
    <w:rsid w:val="00343FE9"/>
    <w:rsid w:val="003D1F97"/>
    <w:rsid w:val="00404764"/>
    <w:rsid w:val="00442186"/>
    <w:rsid w:val="00442ED8"/>
    <w:rsid w:val="00444F9D"/>
    <w:rsid w:val="0046040D"/>
    <w:rsid w:val="004C5665"/>
    <w:rsid w:val="00531604"/>
    <w:rsid w:val="005561F8"/>
    <w:rsid w:val="005F3E70"/>
    <w:rsid w:val="006C6533"/>
    <w:rsid w:val="0070479E"/>
    <w:rsid w:val="00716071"/>
    <w:rsid w:val="007D1515"/>
    <w:rsid w:val="00824213"/>
    <w:rsid w:val="0097222F"/>
    <w:rsid w:val="009F76C4"/>
    <w:rsid w:val="00AB33BF"/>
    <w:rsid w:val="00AB6445"/>
    <w:rsid w:val="00B0122E"/>
    <w:rsid w:val="00BE7219"/>
    <w:rsid w:val="00BF5555"/>
    <w:rsid w:val="00CB6496"/>
    <w:rsid w:val="00D4038D"/>
    <w:rsid w:val="00D43EF1"/>
    <w:rsid w:val="00DD73FC"/>
    <w:rsid w:val="00E8686A"/>
    <w:rsid w:val="00EC1D79"/>
    <w:rsid w:val="00EC7474"/>
    <w:rsid w:val="00F022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767DACAA-C966-4AA8-B614-2C40362B1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HAnsi" w:hAnsi="Arial Narrow"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533"/>
    <w:pPr>
      <w:jc w:val="both"/>
    </w:pPr>
  </w:style>
  <w:style w:type="paragraph" w:styleId="Ttulo1">
    <w:name w:val="heading 1"/>
    <w:basedOn w:val="Normal"/>
    <w:next w:val="Normal"/>
    <w:link w:val="Ttulo1Car"/>
    <w:uiPriority w:val="9"/>
    <w:qFormat/>
    <w:rsid w:val="005561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5561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5561F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305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63054"/>
  </w:style>
  <w:style w:type="paragraph" w:styleId="Piedepgina">
    <w:name w:val="footer"/>
    <w:basedOn w:val="Normal"/>
    <w:link w:val="PiedepginaCar"/>
    <w:uiPriority w:val="99"/>
    <w:unhideWhenUsed/>
    <w:rsid w:val="0026305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63054"/>
  </w:style>
  <w:style w:type="table" w:styleId="Tablaconcuadrcula">
    <w:name w:val="Table Grid"/>
    <w:basedOn w:val="Tablanormal"/>
    <w:rsid w:val="002630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D73FC"/>
    <w:pPr>
      <w:ind w:left="720"/>
      <w:contextualSpacing/>
    </w:pPr>
  </w:style>
  <w:style w:type="paragraph" w:customStyle="1" w:styleId="TTULO01">
    <w:name w:val="__TÍTULO_01__"/>
    <w:basedOn w:val="Normal"/>
    <w:next w:val="NORMAL0"/>
    <w:qFormat/>
    <w:rsid w:val="005561F8"/>
    <w:pPr>
      <w:ind w:left="340" w:hanging="340"/>
    </w:pPr>
    <w:rPr>
      <w:b/>
      <w:caps/>
      <w:sz w:val="24"/>
    </w:rPr>
  </w:style>
  <w:style w:type="paragraph" w:customStyle="1" w:styleId="TTULO02">
    <w:name w:val="__TÍTULO_02__"/>
    <w:basedOn w:val="Normal"/>
    <w:next w:val="NORMAL0"/>
    <w:qFormat/>
    <w:rsid w:val="005561F8"/>
    <w:pPr>
      <w:ind w:left="567" w:hanging="567"/>
    </w:pPr>
    <w:rPr>
      <w:b/>
      <w:smallCaps/>
      <w:sz w:val="24"/>
    </w:rPr>
  </w:style>
  <w:style w:type="paragraph" w:customStyle="1" w:styleId="TTULO30">
    <w:name w:val="__TÍTULO_3__"/>
    <w:basedOn w:val="Normal"/>
    <w:qFormat/>
    <w:rsid w:val="005561F8"/>
    <w:pPr>
      <w:ind w:left="680" w:hanging="680"/>
    </w:pPr>
    <w:rPr>
      <w:b/>
    </w:rPr>
  </w:style>
  <w:style w:type="paragraph" w:customStyle="1" w:styleId="TTULO4">
    <w:name w:val="__TÍTULO_4__"/>
    <w:basedOn w:val="Normal"/>
    <w:qFormat/>
    <w:rsid w:val="005561F8"/>
    <w:rPr>
      <w:u w:val="single"/>
    </w:rPr>
  </w:style>
  <w:style w:type="paragraph" w:customStyle="1" w:styleId="NORMAL0">
    <w:name w:val="__NORMAL__"/>
    <w:basedOn w:val="Normal"/>
    <w:qFormat/>
    <w:rsid w:val="00CB6496"/>
  </w:style>
  <w:style w:type="character" w:customStyle="1" w:styleId="Ttulo1Car">
    <w:name w:val="Título 1 Car"/>
    <w:basedOn w:val="Fuentedeprrafopredeter"/>
    <w:link w:val="Ttulo1"/>
    <w:uiPriority w:val="9"/>
    <w:rsid w:val="005561F8"/>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5561F8"/>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semiHidden/>
    <w:rsid w:val="005561F8"/>
    <w:rPr>
      <w:rFonts w:asciiTheme="majorHAnsi" w:eastAsiaTheme="majorEastAsia" w:hAnsiTheme="majorHAnsi" w:cstheme="majorBidi"/>
      <w:color w:val="1F4D78" w:themeColor="accent1" w:themeShade="7F"/>
      <w:sz w:val="24"/>
      <w:szCs w:val="24"/>
    </w:rPr>
  </w:style>
  <w:style w:type="character" w:styleId="Hipervnculo">
    <w:name w:val="Hyperlink"/>
    <w:basedOn w:val="Fuentedeprrafopredeter"/>
    <w:uiPriority w:val="99"/>
    <w:unhideWhenUsed/>
    <w:rsid w:val="005561F8"/>
    <w:rPr>
      <w:color w:val="0563C1" w:themeColor="hyperlink"/>
      <w:u w:val="single"/>
    </w:rPr>
  </w:style>
  <w:style w:type="paragraph" w:styleId="TDC1">
    <w:name w:val="toc 1"/>
    <w:basedOn w:val="Normal"/>
    <w:next w:val="Normal"/>
    <w:autoRedefine/>
    <w:uiPriority w:val="39"/>
    <w:unhideWhenUsed/>
    <w:rsid w:val="005561F8"/>
    <w:pPr>
      <w:spacing w:after="100"/>
      <w:ind w:left="340" w:hanging="340"/>
    </w:pPr>
    <w:rPr>
      <w:b/>
      <w:smallCaps/>
      <w:sz w:val="24"/>
    </w:rPr>
  </w:style>
  <w:style w:type="paragraph" w:styleId="TDC2">
    <w:name w:val="toc 2"/>
    <w:basedOn w:val="Normal"/>
    <w:next w:val="Normal"/>
    <w:autoRedefine/>
    <w:uiPriority w:val="39"/>
    <w:unhideWhenUsed/>
    <w:rsid w:val="005561F8"/>
    <w:pPr>
      <w:spacing w:after="100"/>
      <w:ind w:left="788" w:hanging="567"/>
    </w:pPr>
    <w:rPr>
      <w:b/>
    </w:rPr>
  </w:style>
  <w:style w:type="paragraph" w:styleId="TDC3">
    <w:name w:val="toc 3"/>
    <w:basedOn w:val="Normal"/>
    <w:next w:val="Normal"/>
    <w:autoRedefine/>
    <w:uiPriority w:val="39"/>
    <w:unhideWhenUsed/>
    <w:rsid w:val="005561F8"/>
    <w:pPr>
      <w:spacing w:after="100"/>
      <w:ind w:left="1122" w:hanging="680"/>
    </w:pPr>
  </w:style>
  <w:style w:type="paragraph" w:customStyle="1" w:styleId="Normal1">
    <w:name w:val="Normal1"/>
    <w:basedOn w:val="Normal"/>
    <w:qFormat/>
    <w:rsid w:val="00442ED8"/>
    <w:pPr>
      <w:spacing w:after="200" w:line="276" w:lineRule="auto"/>
    </w:pPr>
    <w:rPr>
      <w:rFonts w:eastAsia="Calibri" w:cs="Times New Roman"/>
    </w:rPr>
  </w:style>
  <w:style w:type="paragraph" w:styleId="Sinespaciado">
    <w:name w:val="No Spacing"/>
    <w:uiPriority w:val="1"/>
    <w:qFormat/>
    <w:rsid w:val="00442ED8"/>
    <w:pPr>
      <w:spacing w:after="0" w:line="240" w:lineRule="auto"/>
      <w:jc w:val="both"/>
    </w:pPr>
    <w:rPr>
      <w:rFonts w:ascii="Times New Roman" w:eastAsia="Calibri" w:hAnsi="Times New Roman" w:cs="Times New Roman"/>
    </w:rPr>
  </w:style>
  <w:style w:type="paragraph" w:customStyle="1" w:styleId="Normal-Proyecto">
    <w:name w:val="Normal - Proyecto"/>
    <w:basedOn w:val="Normal"/>
    <w:qFormat/>
    <w:rsid w:val="00442ED8"/>
    <w:pPr>
      <w:spacing w:after="200" w:line="312" w:lineRule="auto"/>
    </w:pPr>
    <w:rPr>
      <w:rFonts w:ascii="Times New Roman" w:eastAsia="Calibri" w:hAnsi="Times New Roman" w:cs="Times New Roman"/>
      <w:sz w:val="24"/>
    </w:rPr>
  </w:style>
  <w:style w:type="paragraph" w:customStyle="1" w:styleId="Normal2">
    <w:name w:val="Normal2"/>
    <w:basedOn w:val="Normal"/>
    <w:qFormat/>
    <w:rsid w:val="00141995"/>
    <w:pPr>
      <w:spacing w:after="200" w:line="276" w:lineRule="auto"/>
    </w:pPr>
    <w:rPr>
      <w:rFonts w:eastAsia="Calibri" w:cs="Times New Roman"/>
    </w:rPr>
  </w:style>
  <w:style w:type="paragraph" w:customStyle="1" w:styleId="TTULO10">
    <w:name w:val="TÍTULO 1"/>
    <w:basedOn w:val="Ttulo1"/>
    <w:next w:val="Normal2"/>
    <w:autoRedefine/>
    <w:uiPriority w:val="1"/>
    <w:qFormat/>
    <w:rsid w:val="00141995"/>
    <w:pPr>
      <w:keepLines w:val="0"/>
      <w:spacing w:after="200" w:line="276" w:lineRule="auto"/>
      <w:jc w:val="left"/>
    </w:pPr>
    <w:rPr>
      <w:rFonts w:ascii="Arial Narrow" w:eastAsia="Times New Roman" w:hAnsi="Arial Narrow" w:cs="Times New Roman"/>
      <w:bCs/>
      <w:i/>
      <w:caps/>
      <w:color w:val="auto"/>
      <w:kern w:val="32"/>
      <w:sz w:val="28"/>
    </w:rPr>
  </w:style>
  <w:style w:type="paragraph" w:customStyle="1" w:styleId="TTULO20">
    <w:name w:val="TÍTULO 2"/>
    <w:basedOn w:val="TTULO10"/>
    <w:next w:val="Normal2"/>
    <w:autoRedefine/>
    <w:uiPriority w:val="1"/>
    <w:qFormat/>
    <w:rsid w:val="00141995"/>
    <w:pPr>
      <w:outlineLvl w:val="1"/>
    </w:pPr>
    <w:rPr>
      <w:i w:val="0"/>
      <w:sz w:val="22"/>
    </w:rPr>
  </w:style>
  <w:style w:type="paragraph" w:customStyle="1" w:styleId="TTULO31">
    <w:name w:val="TÍTULO 3"/>
    <w:basedOn w:val="TTULO20"/>
    <w:next w:val="Normal2"/>
    <w:autoRedefine/>
    <w:uiPriority w:val="1"/>
    <w:qFormat/>
    <w:rsid w:val="00141995"/>
    <w:pPr>
      <w:outlineLvl w:val="2"/>
    </w:pPr>
    <w:rPr>
      <w:caps w:val="0"/>
      <w:sz w:val="24"/>
      <w:u w:val="single"/>
    </w:rPr>
  </w:style>
  <w:style w:type="paragraph" w:customStyle="1" w:styleId="Normal3">
    <w:name w:val="Normal3"/>
    <w:basedOn w:val="Normal"/>
    <w:qFormat/>
    <w:rsid w:val="00EC7474"/>
    <w:pPr>
      <w:spacing w:after="200" w:line="276" w:lineRule="auto"/>
    </w:pPr>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oleObject" Target="embeddings/oleObject17.bin"/><Relationship Id="rId21" Type="http://schemas.openxmlformats.org/officeDocument/2006/relationships/image" Target="media/image9.wmf"/><Relationship Id="rId34" Type="http://schemas.openxmlformats.org/officeDocument/2006/relationships/oleObject" Target="embeddings/oleObject14.bin"/><Relationship Id="rId42" Type="http://schemas.openxmlformats.org/officeDocument/2006/relationships/image" Target="media/image18.png"/><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oleObject" Target="embeddings/oleObject16.bin"/><Relationship Id="rId40" Type="http://schemas.openxmlformats.org/officeDocument/2006/relationships/image" Target="media/image17.wmf"/><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0.bin"/><Relationship Id="rId36" Type="http://schemas.openxmlformats.org/officeDocument/2006/relationships/oleObject" Target="embeddings/oleObject15.bin"/><Relationship Id="rId10" Type="http://schemas.openxmlformats.org/officeDocument/2006/relationships/oleObject" Target="embeddings/oleObject1.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footer" Target="footer2.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oleObject" Target="embeddings/oleObject13.bin"/><Relationship Id="rId38" Type="http://schemas.openxmlformats.org/officeDocument/2006/relationships/image" Target="media/image16.wmf"/><Relationship Id="rId20" Type="http://schemas.openxmlformats.org/officeDocument/2006/relationships/oleObject" Target="embeddings/oleObject6.bin"/><Relationship Id="rId41" Type="http://schemas.openxmlformats.org/officeDocument/2006/relationships/oleObject" Target="embeddings/oleObject18.bin"/></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0949D-514F-4D51-BE15-F33E4AC42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4</Pages>
  <Words>1478</Words>
  <Characters>8129</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Técnicas Gades, S.L.</Company>
  <LinksUpToDate>false</LinksUpToDate>
  <CharactersWithSpaces>9588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Técnicas Gades S.L.</dc:creator>
  <cp:keywords/>
  <dc:description/>
  <cp:lastModifiedBy>Técnicas Gades S.L.</cp:lastModifiedBy>
  <cp:revision>16</cp:revision>
  <cp:lastPrinted>2017-01-26T08:07:00Z</cp:lastPrinted>
  <dcterms:created xsi:type="dcterms:W3CDTF">2016-12-27T08:12:00Z</dcterms:created>
  <dcterms:modified xsi:type="dcterms:W3CDTF">2017-01-26T08:07:00Z</dcterms:modified>
</cp:coreProperties>
</file>